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9E" w:rsidRDefault="0039019E" w:rsidP="00023D46">
      <w:pPr>
        <w:pStyle w:val="Ttulo8"/>
        <w:spacing w:line="276" w:lineRule="auto"/>
        <w:jc w:val="center"/>
        <w:rPr>
          <w:rFonts w:cs="Arial"/>
          <w:b/>
          <w:sz w:val="22"/>
          <w:szCs w:val="22"/>
        </w:rPr>
      </w:pPr>
    </w:p>
    <w:p w:rsidR="0039019E" w:rsidRPr="0039019E" w:rsidRDefault="0039019E" w:rsidP="00023D46">
      <w:pPr>
        <w:pStyle w:val="Ttulo8"/>
        <w:spacing w:line="276" w:lineRule="auto"/>
        <w:jc w:val="center"/>
        <w:rPr>
          <w:rFonts w:cs="Arial"/>
          <w:b/>
          <w:sz w:val="22"/>
          <w:szCs w:val="22"/>
        </w:rPr>
      </w:pPr>
      <w:r w:rsidRPr="0039019E">
        <w:rPr>
          <w:rFonts w:cs="Arial"/>
          <w:b/>
          <w:sz w:val="22"/>
          <w:szCs w:val="22"/>
        </w:rPr>
        <w:t>EL PRESIDENTE DE LA REPÚBLICA</w:t>
      </w:r>
    </w:p>
    <w:p w:rsidR="0039019E" w:rsidRPr="0039019E" w:rsidRDefault="0039019E" w:rsidP="00023D46">
      <w:pPr>
        <w:spacing w:line="276" w:lineRule="auto"/>
        <w:jc w:val="center"/>
        <w:rPr>
          <w:rFonts w:cs="Arial"/>
          <w:sz w:val="22"/>
          <w:szCs w:val="22"/>
          <w:lang w:val="es-MX"/>
        </w:rPr>
      </w:pPr>
    </w:p>
    <w:p w:rsidR="0039019E" w:rsidRPr="0039019E" w:rsidRDefault="0039019E" w:rsidP="00023D46">
      <w:pPr>
        <w:pStyle w:val="Sinespaciado2"/>
        <w:spacing w:after="0"/>
        <w:jc w:val="center"/>
        <w:rPr>
          <w:rFonts w:ascii="Arial" w:hAnsi="Arial" w:cs="Arial"/>
        </w:rPr>
      </w:pPr>
      <w:r w:rsidRPr="0039019E">
        <w:rPr>
          <w:rFonts w:ascii="Arial" w:hAnsi="Arial" w:cs="Arial"/>
        </w:rPr>
        <w:t>En ejercicio de sus facultades constitucionales y legales, en especial la que les confiere el numeral 11 del artículo 189 de la Constitución Política y,</w:t>
      </w:r>
    </w:p>
    <w:p w:rsidR="0039019E" w:rsidRPr="0039019E" w:rsidRDefault="0039019E" w:rsidP="00023D46">
      <w:pPr>
        <w:spacing w:line="276" w:lineRule="auto"/>
        <w:rPr>
          <w:rFonts w:cs="Arial"/>
          <w:b/>
          <w:sz w:val="22"/>
          <w:szCs w:val="22"/>
          <w:lang w:val="es-MX"/>
        </w:rPr>
      </w:pPr>
    </w:p>
    <w:p w:rsidR="0039019E" w:rsidRDefault="0039019E" w:rsidP="00023D46">
      <w:pPr>
        <w:spacing w:line="276" w:lineRule="auto"/>
        <w:jc w:val="center"/>
        <w:rPr>
          <w:rFonts w:cs="Arial"/>
          <w:b/>
          <w:sz w:val="22"/>
          <w:szCs w:val="22"/>
          <w:lang w:val="es-MX"/>
        </w:rPr>
      </w:pPr>
    </w:p>
    <w:p w:rsidR="0039019E" w:rsidRPr="0039019E" w:rsidRDefault="0039019E" w:rsidP="00023D46">
      <w:pPr>
        <w:spacing w:line="276" w:lineRule="auto"/>
        <w:jc w:val="center"/>
        <w:rPr>
          <w:rFonts w:cs="Arial"/>
          <w:b/>
          <w:sz w:val="22"/>
          <w:szCs w:val="22"/>
          <w:lang w:val="es-MX"/>
        </w:rPr>
      </w:pPr>
      <w:r w:rsidRPr="0039019E">
        <w:rPr>
          <w:rFonts w:cs="Arial"/>
          <w:b/>
          <w:sz w:val="22"/>
          <w:szCs w:val="22"/>
          <w:lang w:val="es-MX"/>
        </w:rPr>
        <w:t>CONSIDERANDO</w:t>
      </w:r>
    </w:p>
    <w:p w:rsidR="0039019E" w:rsidRPr="0039019E" w:rsidRDefault="0039019E" w:rsidP="00023D46">
      <w:pPr>
        <w:spacing w:line="276" w:lineRule="auto"/>
        <w:jc w:val="center"/>
        <w:rPr>
          <w:rFonts w:cs="Arial"/>
          <w:b/>
          <w:sz w:val="22"/>
          <w:szCs w:val="22"/>
          <w:lang w:val="es-MX"/>
        </w:rPr>
      </w:pPr>
    </w:p>
    <w:p w:rsidR="0039019E" w:rsidRPr="0039019E" w:rsidRDefault="0039019E" w:rsidP="00023D46">
      <w:pPr>
        <w:pStyle w:val="Sinespaciado2"/>
        <w:spacing w:after="0"/>
        <w:jc w:val="both"/>
        <w:rPr>
          <w:rFonts w:ascii="Arial" w:hAnsi="Arial" w:cs="Arial"/>
        </w:rPr>
      </w:pPr>
      <w:r w:rsidRPr="0039019E">
        <w:rPr>
          <w:rFonts w:ascii="Arial" w:hAnsi="Arial" w:cs="Arial"/>
        </w:rPr>
        <w:t xml:space="preserve">Que la Constitución en su artículo 71 señala: </w:t>
      </w:r>
      <w:r w:rsidRPr="0039019E">
        <w:rPr>
          <w:rFonts w:ascii="Arial" w:hAnsi="Arial" w:cs="Arial"/>
          <w:i/>
        </w:rPr>
        <w:t>“La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w:t>
      </w:r>
      <w:r w:rsidRPr="00023D46">
        <w:rPr>
          <w:rFonts w:ascii="Arial" w:hAnsi="Arial" w:cs="Arial"/>
        </w:rPr>
        <w:t>;</w:t>
      </w:r>
    </w:p>
    <w:p w:rsidR="0039019E" w:rsidRPr="0039019E" w:rsidRDefault="0039019E" w:rsidP="00023D46">
      <w:pPr>
        <w:spacing w:line="276" w:lineRule="auto"/>
        <w:jc w:val="both"/>
        <w:rPr>
          <w:rFonts w:cs="Arial"/>
          <w:sz w:val="22"/>
          <w:szCs w:val="22"/>
          <w:lang w:val="es-MX"/>
        </w:rPr>
      </w:pPr>
    </w:p>
    <w:p w:rsidR="0039019E" w:rsidRDefault="0039019E" w:rsidP="00023D46">
      <w:pPr>
        <w:pStyle w:val="Sinespaciado2"/>
        <w:spacing w:after="0"/>
        <w:jc w:val="both"/>
        <w:rPr>
          <w:rFonts w:ascii="Arial" w:hAnsi="Arial" w:cs="Arial"/>
        </w:rPr>
      </w:pPr>
      <w:r w:rsidRPr="0039019E">
        <w:rPr>
          <w:rFonts w:ascii="Arial" w:hAnsi="Arial" w:cs="Arial"/>
        </w:rPr>
        <w:t>Que la Ley 397 de 1997 en su artículo 2 dispone: “</w:t>
      </w:r>
      <w:r w:rsidRPr="0039019E">
        <w:rPr>
          <w:rFonts w:ascii="Arial" w:hAnsi="Arial" w:cs="Arial"/>
          <w:i/>
        </w:rPr>
        <w:t>Del papel del Estado en relación con la cultura. Las funciones y los servicios del Estado en relación con la cultura se cumplirán en conformidad con lo dispuesto en el artículo anterior, teniendo en cuenta que el objetivo primordial de la política estatal sobre la materia son la preservación del patrimonio cultural de la Nación y el apoyo y el estímulo a las personas, comunidades e instituciones que desarrollen o promuevan las expresiones artísticas y culturales en los ámbitos locales, regionales y naciona</w:t>
      </w:r>
      <w:r w:rsidRPr="0039019E">
        <w:rPr>
          <w:rFonts w:ascii="Arial" w:hAnsi="Arial" w:cs="Arial"/>
        </w:rPr>
        <w:t>l”;</w:t>
      </w:r>
    </w:p>
    <w:p w:rsidR="0039019E" w:rsidRPr="0039019E" w:rsidRDefault="0039019E" w:rsidP="00023D46">
      <w:pPr>
        <w:pStyle w:val="Sinespaciado2"/>
        <w:spacing w:after="0"/>
        <w:jc w:val="both"/>
        <w:rPr>
          <w:rFonts w:ascii="Arial" w:hAnsi="Arial" w:cs="Arial"/>
        </w:rPr>
      </w:pPr>
    </w:p>
    <w:p w:rsidR="0039019E" w:rsidRPr="0039019E" w:rsidRDefault="0039019E" w:rsidP="00023D46">
      <w:pPr>
        <w:pStyle w:val="Sinespaciado2"/>
        <w:spacing w:after="0"/>
        <w:jc w:val="both"/>
        <w:rPr>
          <w:rFonts w:ascii="Arial" w:hAnsi="Arial" w:cs="Arial"/>
        </w:rPr>
      </w:pPr>
      <w:r w:rsidRPr="0039019E">
        <w:rPr>
          <w:rFonts w:ascii="Arial" w:hAnsi="Arial" w:cs="Arial"/>
        </w:rPr>
        <w:t>Que el artículo 17 de la misma Ley señala: “</w:t>
      </w:r>
      <w:r w:rsidRPr="0039019E">
        <w:rPr>
          <w:rFonts w:ascii="Arial" w:hAnsi="Arial" w:cs="Arial"/>
          <w:i/>
        </w:rPr>
        <w:t>Del fomento. El Estado a través del Ministerio de Cultura y las entidades territoriales, fomentará las artes en todas sus expresiones y las demás manifestaciones simbólicas expresivas, como elementos del diálogo, el intercambio, la participación y como expresión libre y primordial del pensamiento del ser humano que construye en la convivencia pacífica”</w:t>
      </w:r>
      <w:r w:rsidRPr="00023D46">
        <w:rPr>
          <w:rFonts w:ascii="Arial" w:hAnsi="Arial" w:cs="Arial"/>
        </w:rPr>
        <w:t>;</w:t>
      </w:r>
    </w:p>
    <w:p w:rsidR="0039019E" w:rsidRPr="0039019E" w:rsidRDefault="0039019E" w:rsidP="00023D46">
      <w:pPr>
        <w:spacing w:line="276" w:lineRule="auto"/>
        <w:jc w:val="both"/>
        <w:rPr>
          <w:rFonts w:cs="Arial"/>
          <w:sz w:val="22"/>
          <w:szCs w:val="22"/>
          <w:lang w:val="es-MX"/>
        </w:rPr>
      </w:pPr>
    </w:p>
    <w:p w:rsidR="0039019E" w:rsidRPr="0039019E" w:rsidRDefault="0039019E" w:rsidP="00023D46">
      <w:pPr>
        <w:pStyle w:val="Sinespaciado2"/>
        <w:spacing w:after="0"/>
        <w:jc w:val="both"/>
        <w:rPr>
          <w:rFonts w:ascii="Arial" w:hAnsi="Arial" w:cs="Arial"/>
        </w:rPr>
      </w:pPr>
      <w:r w:rsidRPr="0039019E">
        <w:rPr>
          <w:rFonts w:ascii="Arial" w:hAnsi="Arial" w:cs="Arial"/>
        </w:rPr>
        <w:t xml:space="preserve">Que el artículo 7° de la Ley 1493 de 2011 creó la contribución parafiscal de los espectáculos públicos de las artes escénicas, cuyo hecho generador es la </w:t>
      </w:r>
      <w:r w:rsidRPr="0039019E">
        <w:rPr>
          <w:rFonts w:ascii="Arial" w:hAnsi="Arial" w:cs="Arial"/>
          <w:i/>
        </w:rPr>
        <w:t>“boletería de espectáculos públicos de las artes escénicas del orden municipal o distrital, que deben recaudar los productores de los espectáculos públicos de las artes escénicas equivalente al 10% del valor de la boletería o derecho de asistencia, cualquiera sea su denominación o forma de pago, cuyo precio o costo individual sea igual o superior a 3 UVTS”</w:t>
      </w:r>
      <w:r w:rsidRPr="00023D46">
        <w:rPr>
          <w:rFonts w:ascii="Arial" w:hAnsi="Arial" w:cs="Arial"/>
        </w:rPr>
        <w:t>;</w:t>
      </w:r>
    </w:p>
    <w:p w:rsidR="0039019E" w:rsidRPr="0039019E" w:rsidRDefault="0039019E" w:rsidP="00023D46">
      <w:pPr>
        <w:spacing w:line="276" w:lineRule="auto"/>
        <w:jc w:val="both"/>
        <w:rPr>
          <w:rFonts w:cs="Arial"/>
          <w:sz w:val="22"/>
          <w:szCs w:val="22"/>
          <w:lang w:val="es-MX"/>
        </w:rPr>
      </w:pPr>
    </w:p>
    <w:p w:rsidR="00493B39" w:rsidRPr="0039019E" w:rsidRDefault="0039019E" w:rsidP="00023D46">
      <w:pPr>
        <w:pStyle w:val="Sinespaciado2"/>
        <w:spacing w:after="0"/>
        <w:jc w:val="both"/>
        <w:rPr>
          <w:rFonts w:ascii="Arial" w:hAnsi="Arial" w:cs="Arial"/>
        </w:rPr>
      </w:pPr>
      <w:r w:rsidRPr="0039019E">
        <w:rPr>
          <w:rFonts w:ascii="Arial" w:hAnsi="Arial" w:cs="Arial"/>
        </w:rPr>
        <w:t>Que como una medida de simplificación tributaria, el artículo 37° de la Ley 1493 derogó, en lo que respecta a los espectáculos públicos de las artes escénicas en ella definidos, el impuesto a los espectáculos públicos, de que trata el numeral 1 del artículo 7° de la</w:t>
      </w:r>
      <w:r w:rsidRPr="0039019E">
        <w:rPr>
          <w:rFonts w:ascii="Arial" w:hAnsi="Arial" w:cs="Arial"/>
        </w:rPr>
        <w:t xml:space="preserve"> L</w:t>
      </w:r>
      <w:r w:rsidRPr="0039019E">
        <w:rPr>
          <w:rFonts w:ascii="Arial" w:hAnsi="Arial" w:cs="Arial"/>
        </w:rPr>
        <w:t xml:space="preserve">ey 12 de 1932, el literal a) del artículo 3° de la Ley 33 de 1968 y las normas que los desarrollan. Igualmente derogó, en lo que respecta a dichos espectáculos públicos de las artes escénicas, el impuesto al deporte de que trata el artículo 77 de la Ley 181 de 1995 y las demás disposiciones relacionadas con este impuesto, así como el artículo 2° de la Ley 30 de 1971. De igual manera derogó, en lo que respecta a dichos espectáculos públicos de las artes escénicas, el impuesto del fondo de pobres autorizado por Acuerdo 399 de 2009; </w:t>
      </w:r>
    </w:p>
    <w:p w:rsidR="007746A6" w:rsidRPr="0039019E" w:rsidRDefault="007746A6" w:rsidP="00023D46">
      <w:pPr>
        <w:spacing w:line="276" w:lineRule="auto"/>
        <w:jc w:val="both"/>
        <w:rPr>
          <w:rFonts w:cs="Arial"/>
          <w:sz w:val="22"/>
          <w:szCs w:val="22"/>
          <w:lang w:val="es-MX"/>
        </w:rPr>
        <w:sectPr w:rsidR="007746A6" w:rsidRPr="0039019E" w:rsidSect="005F173D">
          <w:headerReference w:type="default" r:id="rId7"/>
          <w:footerReference w:type="even" r:id="rId8"/>
          <w:footerReference w:type="default" r:id="rId9"/>
          <w:pgSz w:w="12242" w:h="18722" w:code="158"/>
          <w:pgMar w:top="3402" w:right="1134" w:bottom="1701" w:left="1701" w:header="567" w:footer="567" w:gutter="0"/>
          <w:cols w:space="720"/>
          <w:docGrid w:linePitch="326"/>
        </w:sectPr>
      </w:pPr>
    </w:p>
    <w:p w:rsidR="0039019E" w:rsidRDefault="0039019E" w:rsidP="00023D46">
      <w:pPr>
        <w:pStyle w:val="Sinespaciado2"/>
        <w:spacing w:after="0"/>
        <w:jc w:val="both"/>
        <w:rPr>
          <w:rFonts w:ascii="Arial" w:hAnsi="Arial" w:cs="Arial"/>
        </w:rPr>
      </w:pPr>
      <w:r w:rsidRPr="0039019E">
        <w:rPr>
          <w:rFonts w:ascii="Arial" w:hAnsi="Arial" w:cs="Arial"/>
        </w:rPr>
        <w:lastRenderedPageBreak/>
        <w:t>Que el artículo 36° de la misma ley estipuló que los espectáculos públicos de las artes escénicas son actividades no sujetas del Impuesto de Azar y Espectáculos, el impuesto unificado de fondo de pobres, azar y espectáculos del Distrito Capital, y el impuesto de Espectáculos públicos con destino al deporte;</w:t>
      </w:r>
    </w:p>
    <w:p w:rsidR="00023D46" w:rsidRPr="0039019E" w:rsidRDefault="00023D46" w:rsidP="00023D46">
      <w:pPr>
        <w:pStyle w:val="Sinespaciado2"/>
        <w:spacing w:after="0"/>
        <w:jc w:val="both"/>
        <w:rPr>
          <w:rFonts w:ascii="Arial" w:hAnsi="Arial" w:cs="Arial"/>
        </w:rPr>
      </w:pPr>
    </w:p>
    <w:p w:rsidR="0039019E" w:rsidRDefault="0039019E" w:rsidP="00023D46">
      <w:pPr>
        <w:pStyle w:val="Sinespaciado2"/>
        <w:spacing w:after="0"/>
        <w:jc w:val="both"/>
        <w:rPr>
          <w:rFonts w:ascii="Arial" w:hAnsi="Arial" w:cs="Arial"/>
        </w:rPr>
      </w:pPr>
      <w:r w:rsidRPr="0039019E">
        <w:rPr>
          <w:rFonts w:ascii="Arial" w:hAnsi="Arial" w:cs="Arial"/>
        </w:rPr>
        <w:t xml:space="preserve">Que la Ley 1753 de 2015 en su artículo 225 señala: </w:t>
      </w:r>
    </w:p>
    <w:p w:rsidR="00023D46" w:rsidRPr="0039019E" w:rsidRDefault="00023D46" w:rsidP="00023D46">
      <w:pPr>
        <w:pStyle w:val="Sinespaciado2"/>
        <w:spacing w:after="0"/>
        <w:jc w:val="both"/>
        <w:rPr>
          <w:rFonts w:ascii="Arial" w:eastAsia="Arial" w:hAnsi="Arial" w:cs="Arial"/>
          <w:i/>
        </w:rPr>
      </w:pPr>
    </w:p>
    <w:p w:rsidR="0039019E" w:rsidRDefault="0039019E" w:rsidP="00023D46">
      <w:pPr>
        <w:pStyle w:val="Sinespaciado2"/>
        <w:spacing w:after="0"/>
        <w:ind w:left="708"/>
        <w:jc w:val="both"/>
        <w:rPr>
          <w:rFonts w:ascii="Arial" w:hAnsi="Arial" w:cs="Arial"/>
          <w:i/>
        </w:rPr>
      </w:pPr>
      <w:r w:rsidRPr="0039019E">
        <w:rPr>
          <w:rFonts w:ascii="Arial" w:eastAsia="Arial" w:hAnsi="Arial" w:cs="Arial"/>
          <w:i/>
        </w:rPr>
        <w:t>“</w:t>
      </w:r>
      <w:r w:rsidRPr="0039019E">
        <w:rPr>
          <w:rFonts w:ascii="Arial" w:hAnsi="Arial" w:cs="Arial"/>
          <w:b/>
          <w:i/>
        </w:rPr>
        <w:t>Promoción de artes escénicas</w:t>
      </w:r>
      <w:r w:rsidRPr="0039019E">
        <w:rPr>
          <w:rFonts w:ascii="Arial" w:hAnsi="Arial" w:cs="Arial"/>
          <w:i/>
        </w:rPr>
        <w:t>. Los contribuyentes que paguen o suscriban acuerdos de pago en relación con los impuestos derogados por la Ley 1493 de 2011 no podrán ser objeto del cobro o ejecución de intereses o sanciones.</w:t>
      </w:r>
    </w:p>
    <w:p w:rsidR="00023D46" w:rsidRPr="0039019E" w:rsidRDefault="00023D46" w:rsidP="00023D46">
      <w:pPr>
        <w:pStyle w:val="Sinespaciado2"/>
        <w:spacing w:after="0"/>
        <w:ind w:left="708"/>
        <w:jc w:val="both"/>
        <w:rPr>
          <w:rFonts w:ascii="Arial" w:hAnsi="Arial" w:cs="Arial"/>
          <w:i/>
        </w:rPr>
      </w:pPr>
    </w:p>
    <w:p w:rsidR="0039019E" w:rsidRDefault="0039019E" w:rsidP="00023D46">
      <w:pPr>
        <w:pStyle w:val="Sinespaciado2"/>
        <w:spacing w:after="0"/>
        <w:ind w:left="708"/>
        <w:jc w:val="both"/>
        <w:rPr>
          <w:rFonts w:ascii="Arial" w:hAnsi="Arial" w:cs="Arial"/>
          <w:i/>
        </w:rPr>
      </w:pPr>
      <w:r w:rsidRPr="0039019E">
        <w:rPr>
          <w:rFonts w:ascii="Arial" w:hAnsi="Arial" w:cs="Arial"/>
          <w:i/>
        </w:rPr>
        <w:t>Los acuerdos de pago podrán contemplar la posibilidad de cumplir con la obligación mediante la asignación de entradas gratuitas a la población objetivo que determine la entidad territorial interesada. Igualmente, los montos que no se pacten a través de la compensación antes descrita podrán ser descontados de la contribución parafiscal cultural a la boletería de los espectáculos públicos de las artes escénicas que a partir de la expedición de la presente ley se genere a cargo del contribuyente que suscriba el acuerdo de pago respectivo. En ambos casos, el plazo máximo de los acuerdos de pago será de veinte (20) años”.</w:t>
      </w:r>
    </w:p>
    <w:p w:rsidR="00023D46" w:rsidRPr="0039019E" w:rsidRDefault="00023D46" w:rsidP="00023D46">
      <w:pPr>
        <w:pStyle w:val="Sinespaciado2"/>
        <w:spacing w:after="0"/>
        <w:ind w:left="708"/>
        <w:jc w:val="both"/>
        <w:rPr>
          <w:rFonts w:ascii="Arial" w:hAnsi="Arial" w:cs="Arial"/>
        </w:rPr>
      </w:pPr>
    </w:p>
    <w:p w:rsidR="0039019E" w:rsidRDefault="0039019E" w:rsidP="00023D46">
      <w:pPr>
        <w:pStyle w:val="Sinespaciado2"/>
        <w:spacing w:after="0"/>
        <w:jc w:val="both"/>
        <w:rPr>
          <w:rFonts w:ascii="Arial" w:hAnsi="Arial" w:cs="Arial"/>
        </w:rPr>
      </w:pPr>
      <w:r w:rsidRPr="0039019E">
        <w:rPr>
          <w:rFonts w:ascii="Arial" w:hAnsi="Arial" w:cs="Arial"/>
        </w:rPr>
        <w:t xml:space="preserve">Que el artículo 59 de la Ley 788 de 2002 define el </w:t>
      </w:r>
      <w:r w:rsidRPr="0039019E">
        <w:rPr>
          <w:rFonts w:ascii="Arial" w:hAnsi="Arial" w:cs="Arial"/>
          <w:i/>
        </w:rPr>
        <w:t>Procedimiento tributario territorial,</w:t>
      </w:r>
      <w:r w:rsidRPr="0039019E">
        <w:rPr>
          <w:rFonts w:ascii="Arial" w:hAnsi="Arial" w:cs="Arial"/>
        </w:rPr>
        <w:t xml:space="preserve"> en los siguientes términos: </w:t>
      </w:r>
    </w:p>
    <w:p w:rsidR="00023D46" w:rsidRPr="0039019E" w:rsidRDefault="00023D46" w:rsidP="00023D46">
      <w:pPr>
        <w:pStyle w:val="Sinespaciado2"/>
        <w:spacing w:after="0"/>
        <w:jc w:val="both"/>
        <w:rPr>
          <w:rFonts w:ascii="Arial" w:hAnsi="Arial" w:cs="Arial"/>
        </w:rPr>
      </w:pPr>
    </w:p>
    <w:p w:rsidR="0039019E" w:rsidRDefault="0039019E" w:rsidP="00023D46">
      <w:pPr>
        <w:pStyle w:val="Sinespaciado2"/>
        <w:spacing w:after="0"/>
        <w:ind w:left="709"/>
        <w:jc w:val="both"/>
        <w:rPr>
          <w:rFonts w:ascii="Arial" w:hAnsi="Arial" w:cs="Arial"/>
        </w:rPr>
      </w:pPr>
      <w:r w:rsidRPr="0039019E">
        <w:rPr>
          <w:rFonts w:ascii="Arial" w:hAnsi="Arial" w:cs="Arial"/>
          <w:i/>
        </w:rPr>
        <w:t>“Los departamentos y municipios aplicarán los procedimientos establecidos en el Estatuto Tributario Nacional, para la administración, determinación, discusión, cobro, devoluciones, régimen sancionatorio incluida su imposición, a los impuestos por ellos administrados. Así mismo aplicarán el procedimiento administrativo de cobro a las multas, derechos y demás recursos territoriales. El monto de las sanciones y el término de la aplicación de los procedimientos anteriores, podrán disminuirse y simplificarse acorde con la naturaleza de sus tributos, y teniendo en cuenta la proporcionalidad de estas respecto del monto de los impuestos”</w:t>
      </w:r>
      <w:r w:rsidR="00023D46">
        <w:rPr>
          <w:rFonts w:ascii="Arial" w:hAnsi="Arial" w:cs="Arial"/>
          <w:i/>
        </w:rPr>
        <w:t>.</w:t>
      </w:r>
      <w:r w:rsidRPr="0039019E">
        <w:rPr>
          <w:rFonts w:ascii="Arial" w:hAnsi="Arial" w:cs="Arial"/>
        </w:rPr>
        <w:t xml:space="preserve"> </w:t>
      </w:r>
    </w:p>
    <w:p w:rsidR="00023D46" w:rsidRPr="0039019E" w:rsidRDefault="00023D46" w:rsidP="00023D46">
      <w:pPr>
        <w:pStyle w:val="Sinespaciado2"/>
        <w:spacing w:after="0"/>
        <w:ind w:left="709"/>
        <w:jc w:val="both"/>
        <w:rPr>
          <w:rFonts w:ascii="Arial" w:hAnsi="Arial" w:cs="Arial"/>
        </w:rPr>
      </w:pPr>
    </w:p>
    <w:p w:rsidR="0039019E" w:rsidRDefault="0039019E" w:rsidP="00023D46">
      <w:pPr>
        <w:pStyle w:val="Sinespaciado2"/>
        <w:spacing w:after="0"/>
        <w:jc w:val="both"/>
        <w:rPr>
          <w:rFonts w:ascii="Arial" w:hAnsi="Arial" w:cs="Arial"/>
        </w:rPr>
      </w:pPr>
      <w:r w:rsidRPr="0039019E">
        <w:rPr>
          <w:rFonts w:ascii="Arial" w:hAnsi="Arial" w:cs="Arial"/>
        </w:rPr>
        <w:t>Que de conformidad con la norma constitucional y las normas legales se considera necesario hacer la pertinente reglamentación del artículo 225 de la Ley 1753 de 2015, en lo referente al pago o suscripción de acuerdos de pago de los impuestos derogados por la Ley 1493 de 2011;</w:t>
      </w:r>
    </w:p>
    <w:p w:rsidR="00023D46" w:rsidRPr="0039019E" w:rsidRDefault="00023D46" w:rsidP="00023D46">
      <w:pPr>
        <w:pStyle w:val="Sinespaciado2"/>
        <w:spacing w:after="0"/>
        <w:jc w:val="both"/>
        <w:rPr>
          <w:rFonts w:ascii="Arial" w:hAnsi="Arial" w:cs="Arial"/>
        </w:rPr>
      </w:pPr>
    </w:p>
    <w:p w:rsidR="0039019E" w:rsidRPr="0039019E" w:rsidRDefault="0039019E" w:rsidP="00023D46">
      <w:pPr>
        <w:pStyle w:val="Sinespaciado2"/>
        <w:spacing w:after="0"/>
        <w:jc w:val="both"/>
        <w:rPr>
          <w:rFonts w:ascii="Arial" w:hAnsi="Arial" w:cs="Arial"/>
        </w:rPr>
      </w:pPr>
      <w:r w:rsidRPr="0039019E">
        <w:rPr>
          <w:rFonts w:ascii="Arial" w:hAnsi="Arial" w:cs="Arial"/>
        </w:rPr>
        <w:t>Que se dio cumplimiento a lo dispuesto por el numeral 8 del artículo 8 de la Ley 1437 de 2011;</w:t>
      </w:r>
    </w:p>
    <w:p w:rsidR="00023D46" w:rsidRDefault="00023D46" w:rsidP="00023D46">
      <w:pPr>
        <w:spacing w:line="276" w:lineRule="auto"/>
        <w:jc w:val="both"/>
        <w:rPr>
          <w:rFonts w:cs="Arial"/>
          <w:sz w:val="22"/>
          <w:szCs w:val="22"/>
        </w:rPr>
      </w:pPr>
    </w:p>
    <w:p w:rsidR="0039019E" w:rsidRPr="0039019E" w:rsidRDefault="0039019E" w:rsidP="00023D46">
      <w:pPr>
        <w:spacing w:line="276" w:lineRule="auto"/>
        <w:jc w:val="both"/>
        <w:rPr>
          <w:rFonts w:cs="Arial"/>
          <w:sz w:val="22"/>
          <w:szCs w:val="22"/>
        </w:rPr>
      </w:pPr>
      <w:r w:rsidRPr="0039019E">
        <w:rPr>
          <w:rFonts w:cs="Arial"/>
          <w:sz w:val="22"/>
          <w:szCs w:val="22"/>
        </w:rPr>
        <w:t>Que en mérito de lo expuesto,</w:t>
      </w:r>
    </w:p>
    <w:p w:rsidR="0039019E" w:rsidRPr="0039019E" w:rsidRDefault="0039019E" w:rsidP="00023D46">
      <w:pPr>
        <w:spacing w:line="276" w:lineRule="auto"/>
        <w:jc w:val="both"/>
        <w:rPr>
          <w:rFonts w:cs="Arial"/>
          <w:b/>
          <w:sz w:val="22"/>
          <w:szCs w:val="22"/>
        </w:rPr>
      </w:pPr>
    </w:p>
    <w:p w:rsidR="0039019E" w:rsidRPr="0039019E" w:rsidRDefault="0039019E" w:rsidP="00023D46">
      <w:pPr>
        <w:spacing w:line="276" w:lineRule="auto"/>
        <w:jc w:val="center"/>
        <w:rPr>
          <w:rFonts w:cs="Arial"/>
          <w:b/>
          <w:sz w:val="22"/>
          <w:szCs w:val="22"/>
        </w:rPr>
      </w:pPr>
      <w:r w:rsidRPr="0039019E">
        <w:rPr>
          <w:rFonts w:cs="Arial"/>
          <w:b/>
          <w:sz w:val="22"/>
          <w:szCs w:val="22"/>
        </w:rPr>
        <w:t>DECRETA:</w:t>
      </w:r>
    </w:p>
    <w:p w:rsidR="0039019E" w:rsidRPr="0039019E" w:rsidRDefault="0039019E" w:rsidP="00023D46">
      <w:pPr>
        <w:spacing w:line="276" w:lineRule="auto"/>
        <w:jc w:val="both"/>
        <w:rPr>
          <w:rFonts w:cs="Arial"/>
          <w:b/>
          <w:sz w:val="22"/>
          <w:szCs w:val="22"/>
        </w:rPr>
      </w:pPr>
    </w:p>
    <w:p w:rsidR="0039019E" w:rsidRPr="0039019E" w:rsidRDefault="0039019E" w:rsidP="00023D46">
      <w:pPr>
        <w:pStyle w:val="Encabezado"/>
        <w:tabs>
          <w:tab w:val="clear" w:pos="4252"/>
          <w:tab w:val="clear" w:pos="8504"/>
        </w:tabs>
        <w:spacing w:line="276" w:lineRule="auto"/>
        <w:jc w:val="both"/>
        <w:rPr>
          <w:rFonts w:cs="Arial"/>
          <w:sz w:val="22"/>
          <w:szCs w:val="22"/>
        </w:rPr>
      </w:pPr>
      <w:r w:rsidRPr="0039019E">
        <w:rPr>
          <w:rFonts w:cs="Arial"/>
          <w:b/>
          <w:sz w:val="22"/>
          <w:szCs w:val="22"/>
        </w:rPr>
        <w:t xml:space="preserve">Artículo 1º. </w:t>
      </w:r>
      <w:r w:rsidRPr="0039019E">
        <w:rPr>
          <w:rFonts w:cs="Arial"/>
          <w:sz w:val="22"/>
          <w:szCs w:val="22"/>
        </w:rPr>
        <w:t>Adiciónese un Título III, a la parte IX del libro II del Decreto Único Reglamentario de 2015 del Sector Cultura así:</w:t>
      </w:r>
    </w:p>
    <w:p w:rsidR="0039019E" w:rsidRPr="0039019E" w:rsidRDefault="0039019E" w:rsidP="00023D46">
      <w:pPr>
        <w:pStyle w:val="Encabezado"/>
        <w:tabs>
          <w:tab w:val="clear" w:pos="4252"/>
          <w:tab w:val="clear" w:pos="8504"/>
        </w:tabs>
        <w:spacing w:line="276" w:lineRule="auto"/>
        <w:jc w:val="both"/>
        <w:rPr>
          <w:rFonts w:cs="Arial"/>
          <w:b/>
          <w:sz w:val="22"/>
          <w:szCs w:val="22"/>
        </w:rPr>
      </w:pPr>
    </w:p>
    <w:p w:rsidR="0039019E" w:rsidRPr="0039019E" w:rsidRDefault="0039019E" w:rsidP="00023D46">
      <w:pPr>
        <w:pStyle w:val="Encabezado"/>
        <w:tabs>
          <w:tab w:val="clear" w:pos="4252"/>
          <w:tab w:val="clear" w:pos="8504"/>
        </w:tabs>
        <w:spacing w:line="276" w:lineRule="auto"/>
        <w:jc w:val="center"/>
        <w:rPr>
          <w:rFonts w:cs="Arial"/>
          <w:b/>
          <w:sz w:val="22"/>
          <w:szCs w:val="22"/>
        </w:rPr>
      </w:pPr>
      <w:r w:rsidRPr="0039019E">
        <w:rPr>
          <w:rFonts w:cs="Arial"/>
          <w:b/>
          <w:sz w:val="22"/>
          <w:szCs w:val="22"/>
        </w:rPr>
        <w:t>“TÍTULO III</w:t>
      </w:r>
    </w:p>
    <w:p w:rsidR="0039019E" w:rsidRPr="0039019E" w:rsidRDefault="0039019E" w:rsidP="00023D46">
      <w:pPr>
        <w:pStyle w:val="Encabezado"/>
        <w:tabs>
          <w:tab w:val="clear" w:pos="4252"/>
          <w:tab w:val="clear" w:pos="8504"/>
        </w:tabs>
        <w:spacing w:line="276" w:lineRule="auto"/>
        <w:jc w:val="center"/>
        <w:rPr>
          <w:rFonts w:cs="Arial"/>
          <w:b/>
          <w:sz w:val="22"/>
          <w:szCs w:val="22"/>
        </w:rPr>
      </w:pPr>
      <w:r w:rsidRPr="0039019E">
        <w:rPr>
          <w:rFonts w:cs="Arial"/>
          <w:b/>
          <w:sz w:val="22"/>
          <w:szCs w:val="22"/>
        </w:rPr>
        <w:t>PROMOCIÓN DE ARTES ESCÉNICAS</w:t>
      </w:r>
    </w:p>
    <w:p w:rsidR="0039019E" w:rsidRPr="0039019E" w:rsidRDefault="0039019E" w:rsidP="00023D46">
      <w:pPr>
        <w:pStyle w:val="Encabezado"/>
        <w:tabs>
          <w:tab w:val="clear" w:pos="4252"/>
          <w:tab w:val="clear" w:pos="8504"/>
        </w:tabs>
        <w:spacing w:line="276" w:lineRule="auto"/>
        <w:jc w:val="both"/>
        <w:rPr>
          <w:rFonts w:cs="Arial"/>
          <w:b/>
          <w:sz w:val="22"/>
          <w:szCs w:val="22"/>
        </w:rPr>
      </w:pPr>
    </w:p>
    <w:p w:rsidR="0039019E" w:rsidRPr="0039019E" w:rsidRDefault="0039019E" w:rsidP="00023D46">
      <w:pPr>
        <w:pStyle w:val="Encabezado"/>
        <w:tabs>
          <w:tab w:val="clear" w:pos="4252"/>
          <w:tab w:val="clear" w:pos="8504"/>
        </w:tabs>
        <w:spacing w:line="276" w:lineRule="auto"/>
        <w:jc w:val="both"/>
        <w:rPr>
          <w:rFonts w:cs="Arial"/>
          <w:sz w:val="22"/>
          <w:szCs w:val="22"/>
          <w:lang w:val="es-MX"/>
        </w:rPr>
      </w:pPr>
      <w:r w:rsidRPr="0039019E">
        <w:rPr>
          <w:rFonts w:cs="Arial"/>
          <w:b/>
          <w:sz w:val="22"/>
          <w:szCs w:val="22"/>
        </w:rPr>
        <w:t xml:space="preserve">2.9.3.1. Ámbito de aplicación de los acuerdos de pago. </w:t>
      </w:r>
      <w:r w:rsidRPr="0039019E">
        <w:rPr>
          <w:rFonts w:cs="Arial"/>
          <w:sz w:val="22"/>
          <w:szCs w:val="22"/>
        </w:rPr>
        <w:t>El presente título aplica única y privativamente a los acuerdos de pago en relación con las obligaciones existentes por concepto de los impuestos municipales y distritales de azar y espectáculos; impuesto nacional de espectáculos públicos con destino al deporte, así como impuesto de fondo de pobres e impuesto unificado de fondo de pobres, azar y espectáculos del Distrito Capital.</w:t>
      </w:r>
    </w:p>
    <w:p w:rsidR="0039019E" w:rsidRDefault="0039019E" w:rsidP="00023D46">
      <w:pPr>
        <w:pStyle w:val="Sinespaciado2"/>
        <w:spacing w:after="0"/>
        <w:jc w:val="both"/>
        <w:rPr>
          <w:rFonts w:ascii="Arial" w:hAnsi="Arial" w:cs="Arial"/>
        </w:rPr>
      </w:pPr>
      <w:r w:rsidRPr="0039019E">
        <w:rPr>
          <w:rFonts w:ascii="Arial" w:hAnsi="Arial" w:cs="Arial"/>
          <w:b/>
          <w:lang w:val="es-MX"/>
        </w:rPr>
        <w:lastRenderedPageBreak/>
        <w:t xml:space="preserve">2.9.3.2. </w:t>
      </w:r>
      <w:r w:rsidRPr="0039019E">
        <w:rPr>
          <w:rFonts w:ascii="Arial" w:hAnsi="Arial" w:cs="Arial"/>
          <w:b/>
        </w:rPr>
        <w:t xml:space="preserve">Facultad de suscripción de acuerdos de </w:t>
      </w:r>
      <w:r w:rsidR="00023D46">
        <w:rPr>
          <w:rFonts w:ascii="Arial" w:hAnsi="Arial" w:cs="Arial"/>
          <w:b/>
        </w:rPr>
        <w:t>p</w:t>
      </w:r>
      <w:bookmarkStart w:id="0" w:name="_GoBack"/>
      <w:bookmarkEnd w:id="0"/>
      <w:r w:rsidRPr="0039019E">
        <w:rPr>
          <w:rFonts w:ascii="Arial" w:hAnsi="Arial" w:cs="Arial"/>
          <w:b/>
        </w:rPr>
        <w:t>ago</w:t>
      </w:r>
      <w:r w:rsidRPr="0039019E">
        <w:rPr>
          <w:rFonts w:ascii="Arial" w:hAnsi="Arial" w:cs="Arial"/>
        </w:rPr>
        <w:t>.  Las entidades territoriales acreedoras de la obligación tributaria por concepto de los impuestos a los que hace referencia el artículo anterior, podrán conceder acuerdos de pago incluyendo la posibilidad de satisfacer la deuda mediante la asignación de entradas a la población objetivo que determine la Secretaria de Cultura, o quien haga sus veces, de la respectiva entidad territorial.</w:t>
      </w:r>
    </w:p>
    <w:p w:rsidR="00023D46" w:rsidRPr="0039019E" w:rsidRDefault="00023D46" w:rsidP="00023D46">
      <w:pPr>
        <w:pStyle w:val="Sinespaciado2"/>
        <w:spacing w:after="0"/>
        <w:jc w:val="both"/>
        <w:rPr>
          <w:rFonts w:ascii="Arial" w:hAnsi="Arial" w:cs="Arial"/>
        </w:rPr>
      </w:pPr>
    </w:p>
    <w:p w:rsidR="0039019E" w:rsidRPr="0039019E" w:rsidRDefault="0039019E" w:rsidP="00023D46">
      <w:pPr>
        <w:spacing w:line="276" w:lineRule="auto"/>
        <w:jc w:val="both"/>
        <w:rPr>
          <w:rFonts w:cs="Arial"/>
          <w:sz w:val="22"/>
          <w:szCs w:val="22"/>
        </w:rPr>
      </w:pPr>
      <w:r w:rsidRPr="0039019E">
        <w:rPr>
          <w:rFonts w:cs="Arial"/>
          <w:sz w:val="22"/>
          <w:szCs w:val="22"/>
        </w:rPr>
        <w:t>La determinación de la población objetivo que será objeto de entradas, deberá contemplarse en cada acuerdo de pago, y cumplirá con las prioridades del Plan de Desarrollo Municipal o Distrital respectivo y con especial énfasis a las actividades o eventos que tengan como finalidad la formación de públicos, la atención a programas de recreación y cultura dirigido a la población objetivo que determine la entidad territorial interesada.</w:t>
      </w:r>
    </w:p>
    <w:p w:rsidR="0039019E" w:rsidRPr="0039019E" w:rsidRDefault="0039019E" w:rsidP="00023D46">
      <w:pPr>
        <w:spacing w:line="276" w:lineRule="auto"/>
        <w:jc w:val="both"/>
        <w:rPr>
          <w:rFonts w:cs="Arial"/>
          <w:sz w:val="22"/>
          <w:szCs w:val="22"/>
        </w:rPr>
      </w:pPr>
    </w:p>
    <w:p w:rsidR="0039019E" w:rsidRDefault="0039019E" w:rsidP="00023D46">
      <w:pPr>
        <w:pStyle w:val="Sinespaciado2"/>
        <w:spacing w:after="0"/>
        <w:jc w:val="both"/>
        <w:rPr>
          <w:rFonts w:ascii="Arial" w:hAnsi="Arial" w:cs="Arial"/>
        </w:rPr>
      </w:pPr>
      <w:r w:rsidRPr="0039019E">
        <w:rPr>
          <w:rFonts w:ascii="Arial" w:hAnsi="Arial" w:cs="Arial"/>
          <w:b/>
        </w:rPr>
        <w:t xml:space="preserve">Parágrafo. </w:t>
      </w:r>
      <w:r w:rsidRPr="0039019E">
        <w:rPr>
          <w:rFonts w:ascii="Arial" w:hAnsi="Arial" w:cs="Arial"/>
        </w:rPr>
        <w:t xml:space="preserve">Para el caso de espectáculos públicos de las artes escénicas regulados por la Ley 1493 de 2011, en caso de que la boletería y los derechos de asistencia objeto del acuerdo de pago sean sujetos al pago de la contribución parafiscal cultural creada por el artículo 7° de la precitada ley, el contribuyente deberá presentar ante el Ministerio de Cultura: 1) el acuerdo de pago suscrito con la Secretaría de Hacienda o la entidad que haga sus veces, el cual deberá indicar de manera expresa la autorización para realizar descuentos de la contribución parafiscal cultural a la boletería de los espectáculos públicos de las artes escénicas; 2) un informe bimestral de la boletería vendida y los derechos de asistencia entregados, sujetos a la declaración y pago de la contribución parafiscal cultural, en el que se indique de manera detallada los descuentos realizados por este concepto. Si los descuentos son parciales respecto del total de la boletería y los derechos de asistencia sujetos al pago de la contribución parafiscal cultural, deberá presentarse la respectiva declaración y realizarse el pago del saldo correspondiente, según lo establecido en la Ley 1493 de 2011 y las normas que la reglamentan. </w:t>
      </w:r>
    </w:p>
    <w:p w:rsidR="00023D46" w:rsidRPr="0039019E" w:rsidRDefault="00023D46" w:rsidP="00023D46">
      <w:pPr>
        <w:pStyle w:val="Sinespaciado2"/>
        <w:spacing w:after="0"/>
        <w:jc w:val="both"/>
        <w:rPr>
          <w:rFonts w:ascii="Arial" w:hAnsi="Arial" w:cs="Arial"/>
        </w:rPr>
      </w:pPr>
    </w:p>
    <w:p w:rsidR="0039019E" w:rsidRDefault="0039019E" w:rsidP="00023D46">
      <w:pPr>
        <w:pStyle w:val="Sinespaciado2"/>
        <w:spacing w:after="0"/>
        <w:jc w:val="both"/>
        <w:rPr>
          <w:rFonts w:ascii="Arial" w:hAnsi="Arial" w:cs="Arial"/>
        </w:rPr>
      </w:pPr>
      <w:r w:rsidRPr="0039019E">
        <w:rPr>
          <w:rFonts w:ascii="Arial" w:hAnsi="Arial" w:cs="Arial"/>
          <w:b/>
          <w:lang w:val="es-MX"/>
        </w:rPr>
        <w:t>2.9.3.3. Estimación de</w:t>
      </w:r>
      <w:r w:rsidRPr="0039019E">
        <w:rPr>
          <w:rFonts w:ascii="Arial" w:hAnsi="Arial" w:cs="Arial"/>
          <w:b/>
        </w:rPr>
        <w:t xml:space="preserve"> valor de pago</w:t>
      </w:r>
      <w:r w:rsidRPr="0039019E">
        <w:rPr>
          <w:rFonts w:ascii="Arial" w:hAnsi="Arial" w:cs="Arial"/>
        </w:rPr>
        <w:t xml:space="preserve">. Para efectos de determinar el valor del pago que se realizará mediante la asignación de boletería, estas se estimarán al valor comercial de las mismas sin incluir impuestos, tasas o contribuciones, ni tampoco los costos asociados al servicio de impresión y distribución de la boletería. </w:t>
      </w:r>
    </w:p>
    <w:p w:rsidR="00023D46" w:rsidRPr="0039019E" w:rsidRDefault="00023D46" w:rsidP="00023D46">
      <w:pPr>
        <w:pStyle w:val="Sinespaciado2"/>
        <w:spacing w:after="0"/>
        <w:jc w:val="both"/>
        <w:rPr>
          <w:rFonts w:ascii="Arial" w:hAnsi="Arial" w:cs="Arial"/>
          <w:b/>
        </w:rPr>
      </w:pPr>
    </w:p>
    <w:p w:rsidR="0039019E" w:rsidRDefault="0039019E" w:rsidP="00023D46">
      <w:pPr>
        <w:pStyle w:val="Sinespaciado2"/>
        <w:spacing w:after="0"/>
        <w:jc w:val="both"/>
        <w:rPr>
          <w:rFonts w:ascii="Arial" w:hAnsi="Arial" w:cs="Arial"/>
        </w:rPr>
      </w:pPr>
      <w:r w:rsidRPr="0039019E">
        <w:rPr>
          <w:rFonts w:ascii="Arial" w:hAnsi="Arial" w:cs="Arial"/>
          <w:b/>
          <w:lang w:val="es-MX"/>
        </w:rPr>
        <w:t xml:space="preserve">2.9.3.4. </w:t>
      </w:r>
      <w:r w:rsidRPr="0039019E">
        <w:rPr>
          <w:rFonts w:ascii="Arial" w:hAnsi="Arial" w:cs="Arial"/>
          <w:b/>
        </w:rPr>
        <w:t>Solicitud y trámite.</w:t>
      </w:r>
      <w:r w:rsidRPr="0039019E">
        <w:rPr>
          <w:rFonts w:ascii="Arial" w:hAnsi="Arial" w:cs="Arial"/>
        </w:rPr>
        <w:t xml:space="preserve"> Los contribuyentes presentarán ante la respectiva Secretaría de  Hacienda, o quien haga sus veces, una propuesta de pago de los valores adeudados por concepto de los impuestos a que se refiere el artículo 2.9.3.1. </w:t>
      </w:r>
      <w:proofErr w:type="gramStart"/>
      <w:r w:rsidRPr="0039019E">
        <w:rPr>
          <w:rFonts w:ascii="Arial" w:hAnsi="Arial" w:cs="Arial"/>
        </w:rPr>
        <w:t>con</w:t>
      </w:r>
      <w:proofErr w:type="gramEnd"/>
      <w:r w:rsidRPr="0039019E">
        <w:rPr>
          <w:rFonts w:ascii="Arial" w:hAnsi="Arial" w:cs="Arial"/>
        </w:rPr>
        <w:t xml:space="preserve"> cargo a boletería, identificando en la propuesta el monto total de la obligación objeto del acuerdo de pago.</w:t>
      </w:r>
    </w:p>
    <w:p w:rsidR="00023D46" w:rsidRPr="0039019E" w:rsidRDefault="00023D46" w:rsidP="00023D46">
      <w:pPr>
        <w:pStyle w:val="Sinespaciado2"/>
        <w:spacing w:after="0"/>
        <w:jc w:val="both"/>
        <w:rPr>
          <w:rFonts w:ascii="Arial" w:hAnsi="Arial" w:cs="Arial"/>
          <w:shd w:val="clear" w:color="auto" w:fill="FFFF00"/>
        </w:rPr>
      </w:pPr>
    </w:p>
    <w:p w:rsidR="0039019E" w:rsidRPr="0039019E" w:rsidRDefault="0039019E" w:rsidP="00023D46">
      <w:pPr>
        <w:pStyle w:val="Sinespaciado2"/>
        <w:spacing w:after="0"/>
        <w:jc w:val="both"/>
        <w:rPr>
          <w:rFonts w:ascii="Arial" w:hAnsi="Arial" w:cs="Arial"/>
        </w:rPr>
      </w:pPr>
      <w:r w:rsidRPr="0039019E">
        <w:rPr>
          <w:rFonts w:ascii="Arial" w:hAnsi="Arial" w:cs="Arial"/>
        </w:rPr>
        <w:t xml:space="preserve">La Secretaría de Hacienda, o quien haga sus veces, una vez viabilizada la propuesta, en los diez (10) días siguientes expedirá la propuesta de acuerdo de pago, en la cual indicará las condiciones de amortización de la obligación con cargo a la boletería y el tiempo de vigencia del acuerdo de pago, que en todo caso no deberá superar veinte (20) años. Dicha certificación se remitirá a la Secretaría de Cultura, o quien haga sus veces para que se emita, si procede, concepto favorable referido a la concordancia y viabilidad de la población beneficiaria de las entradas gratuitas. </w:t>
      </w:r>
    </w:p>
    <w:p w:rsidR="0039019E" w:rsidRDefault="0039019E" w:rsidP="00023D46">
      <w:pPr>
        <w:pStyle w:val="Sinespaciado2"/>
        <w:spacing w:after="0"/>
        <w:jc w:val="both"/>
        <w:rPr>
          <w:rFonts w:ascii="Arial" w:hAnsi="Arial" w:cs="Arial"/>
        </w:rPr>
      </w:pPr>
    </w:p>
    <w:p w:rsidR="0039019E" w:rsidRDefault="0039019E" w:rsidP="00023D46">
      <w:pPr>
        <w:pStyle w:val="Sinespaciado2"/>
        <w:spacing w:after="0"/>
        <w:jc w:val="both"/>
        <w:rPr>
          <w:rFonts w:ascii="Arial" w:hAnsi="Arial" w:cs="Arial"/>
        </w:rPr>
      </w:pPr>
      <w:r w:rsidRPr="0039019E">
        <w:rPr>
          <w:rFonts w:ascii="Arial" w:hAnsi="Arial" w:cs="Arial"/>
        </w:rPr>
        <w:t>Si la propuesta de acuerdo de pago no reúne las condiciones sobre concordancia y viabilidad mencionada, se aplicará el procedimiento tributario, de conformidad con lo estipulado en el  artículo 59 de la Ley 788 de 2002.</w:t>
      </w:r>
    </w:p>
    <w:p w:rsidR="00023D46" w:rsidRPr="0039019E" w:rsidRDefault="00023D46" w:rsidP="00023D46">
      <w:pPr>
        <w:pStyle w:val="Sinespaciado2"/>
        <w:spacing w:after="0"/>
        <w:jc w:val="both"/>
        <w:rPr>
          <w:rFonts w:ascii="Arial" w:hAnsi="Arial" w:cs="Arial"/>
        </w:rPr>
      </w:pPr>
    </w:p>
    <w:p w:rsidR="0039019E" w:rsidRDefault="0039019E" w:rsidP="00023D46">
      <w:pPr>
        <w:pStyle w:val="Sinespaciado2"/>
        <w:spacing w:after="0"/>
        <w:jc w:val="both"/>
        <w:rPr>
          <w:rFonts w:ascii="Arial" w:hAnsi="Arial" w:cs="Arial"/>
        </w:rPr>
      </w:pPr>
      <w:r w:rsidRPr="0039019E">
        <w:rPr>
          <w:rFonts w:ascii="Arial" w:hAnsi="Arial" w:cs="Arial"/>
        </w:rPr>
        <w:t>Dentro de los treinta (30) días siguientes al recibo del concepto favorable emitido por la Secretaría de Cultura, la Secretaría de Hacienda, o quien haga sus veces, concederá por una sola vez el acuerdo de pago. El acto administrativo contentivo del acuerdo de pago</w:t>
      </w:r>
      <w:r>
        <w:rPr>
          <w:rFonts w:ascii="Arial" w:hAnsi="Arial" w:cs="Arial"/>
        </w:rPr>
        <w:t xml:space="preserve"> no </w:t>
      </w:r>
      <w:r w:rsidRPr="0039019E">
        <w:rPr>
          <w:rFonts w:ascii="Arial" w:hAnsi="Arial" w:cs="Arial"/>
        </w:rPr>
        <w:t>será susceptible de recursos y deberá notificarse al contribuyente por parte de la Secretaría de Hacienda, o quien haga sus veces, conforme lo señala el Estatuto Tributario.</w:t>
      </w:r>
    </w:p>
    <w:p w:rsidR="00023D46" w:rsidRPr="0039019E" w:rsidRDefault="00023D46" w:rsidP="00023D46">
      <w:pPr>
        <w:pStyle w:val="Sinespaciado2"/>
        <w:spacing w:after="0"/>
        <w:jc w:val="both"/>
        <w:rPr>
          <w:rFonts w:ascii="Arial" w:hAnsi="Arial" w:cs="Arial"/>
        </w:rPr>
      </w:pPr>
    </w:p>
    <w:p w:rsidR="0039019E" w:rsidRDefault="0039019E" w:rsidP="00023D46">
      <w:pPr>
        <w:pStyle w:val="Sinespaciado2"/>
        <w:spacing w:after="0"/>
        <w:jc w:val="both"/>
        <w:rPr>
          <w:rFonts w:ascii="Arial" w:hAnsi="Arial" w:cs="Arial"/>
          <w:b/>
        </w:rPr>
      </w:pPr>
      <w:r w:rsidRPr="0039019E">
        <w:rPr>
          <w:rFonts w:ascii="Arial" w:hAnsi="Arial" w:cs="Arial"/>
        </w:rPr>
        <w:lastRenderedPageBreak/>
        <w:t>El acuerdo de pago podrá ser objeto de modificaciones relacionadas con las poblaciones objetivo y su armonización con el Plan de Desarrollo, caso en el cual la Secretaría de Cultura remitirá un anexo técnico para consideración de la Secretaría de Hacienda, y su posterior incorporarán como anexo técnico al acuerdo de pago, en el caso en el que está última lo considere procedente.</w:t>
      </w:r>
      <w:r w:rsidRPr="0039019E">
        <w:rPr>
          <w:rFonts w:ascii="Arial" w:hAnsi="Arial" w:cs="Arial"/>
          <w:b/>
        </w:rPr>
        <w:t xml:space="preserve"> </w:t>
      </w:r>
    </w:p>
    <w:p w:rsidR="00023D46" w:rsidRPr="0039019E" w:rsidRDefault="00023D46" w:rsidP="00023D46">
      <w:pPr>
        <w:pStyle w:val="Sinespaciado2"/>
        <w:spacing w:after="0"/>
        <w:jc w:val="both"/>
        <w:rPr>
          <w:rFonts w:ascii="Arial" w:hAnsi="Arial" w:cs="Arial"/>
          <w:b/>
        </w:rPr>
      </w:pPr>
    </w:p>
    <w:p w:rsidR="0039019E" w:rsidRDefault="0039019E" w:rsidP="00023D46">
      <w:pPr>
        <w:pStyle w:val="Sinespaciado2"/>
        <w:spacing w:after="0"/>
        <w:jc w:val="both"/>
        <w:rPr>
          <w:rFonts w:ascii="Arial" w:hAnsi="Arial" w:cs="Arial"/>
        </w:rPr>
      </w:pPr>
      <w:r w:rsidRPr="0039019E">
        <w:rPr>
          <w:rFonts w:ascii="Arial" w:hAnsi="Arial" w:cs="Arial"/>
          <w:b/>
        </w:rPr>
        <w:t>Parágrafo</w:t>
      </w:r>
      <w:r w:rsidRPr="0039019E">
        <w:rPr>
          <w:rFonts w:ascii="Arial" w:hAnsi="Arial" w:cs="Arial"/>
        </w:rPr>
        <w:t>: La verificación de la entrega de boletería gratuita o de la realización de espectáculos o eventos dirigidos al pago de la deuda, corresponderá a la Secretaría de Cultura o quien haga sus veces, quienes deberán reglamentar internamente el procedimiento para dicha verificación.</w:t>
      </w:r>
    </w:p>
    <w:p w:rsidR="00023D46" w:rsidRPr="0039019E" w:rsidRDefault="00023D46" w:rsidP="00023D46">
      <w:pPr>
        <w:pStyle w:val="Sinespaciado2"/>
        <w:spacing w:after="0"/>
        <w:jc w:val="both"/>
        <w:rPr>
          <w:rFonts w:ascii="Arial" w:hAnsi="Arial" w:cs="Arial"/>
        </w:rPr>
      </w:pPr>
    </w:p>
    <w:p w:rsidR="0039019E" w:rsidRDefault="0039019E" w:rsidP="00023D46">
      <w:pPr>
        <w:pStyle w:val="Sinespaciado2"/>
        <w:spacing w:after="0"/>
        <w:jc w:val="both"/>
        <w:rPr>
          <w:rFonts w:ascii="Arial" w:hAnsi="Arial" w:cs="Arial"/>
        </w:rPr>
      </w:pPr>
      <w:r w:rsidRPr="0039019E">
        <w:rPr>
          <w:rFonts w:ascii="Arial" w:hAnsi="Arial" w:cs="Arial"/>
          <w:b/>
          <w:lang w:val="es-MX"/>
        </w:rPr>
        <w:t>2.9.3.5.</w:t>
      </w:r>
      <w:r w:rsidRPr="0039019E">
        <w:rPr>
          <w:rFonts w:ascii="Arial" w:hAnsi="Arial" w:cs="Arial"/>
          <w:b/>
        </w:rPr>
        <w:t xml:space="preserve"> Ejecución acuerdo de pago</w:t>
      </w:r>
      <w:r w:rsidRPr="0039019E">
        <w:rPr>
          <w:rFonts w:ascii="Arial" w:hAnsi="Arial" w:cs="Arial"/>
        </w:rPr>
        <w:t>.  La Secretaría de Hacienda, o quien haga sus veces en la respectiva entidad territorial, deberá certificar el cumplimiento de las obligaciones pactadas en los acuerdos de pago. Para ello, deberá remitir dentro del primer trimestre de cada año de vigencia del acuerdo de pago a la Secretaría de Cultura o quien haga sus veces, las pertinentes certificaciones del cumplimiento del acuerdo de pago indicando claramente el valor del cumplimiento, para que esta realice la correspondiente verificación e impacto logrado en la población objetivo que haya determinado la respectiva entidad territorial.</w:t>
      </w:r>
    </w:p>
    <w:p w:rsidR="00023D46" w:rsidRPr="0039019E" w:rsidRDefault="00023D46" w:rsidP="00023D46">
      <w:pPr>
        <w:pStyle w:val="Sinespaciado2"/>
        <w:spacing w:after="0"/>
        <w:jc w:val="both"/>
        <w:rPr>
          <w:rFonts w:ascii="Arial" w:hAnsi="Arial" w:cs="Arial"/>
        </w:rPr>
      </w:pPr>
    </w:p>
    <w:p w:rsidR="0039019E" w:rsidRDefault="0039019E" w:rsidP="00023D46">
      <w:pPr>
        <w:pStyle w:val="Sinespaciado2"/>
        <w:spacing w:after="0"/>
        <w:jc w:val="both"/>
        <w:rPr>
          <w:rFonts w:ascii="Arial" w:hAnsi="Arial" w:cs="Arial"/>
        </w:rPr>
      </w:pPr>
      <w:r w:rsidRPr="0039019E">
        <w:rPr>
          <w:rFonts w:ascii="Arial" w:hAnsi="Arial" w:cs="Arial"/>
        </w:rPr>
        <w:t>La Secretaría de Hacienda, o quien haga sus veces, con base en el acta de verificación de cumplimiento del acuerdo de pago, amortizará la obligación, e informará en la primera semana de junio de cada año, a la Secretaría de Cultura y al respectivo contribuyente el saldo pendiente de la obligación.</w:t>
      </w:r>
    </w:p>
    <w:p w:rsidR="00023D46" w:rsidRPr="0039019E" w:rsidRDefault="00023D46" w:rsidP="00023D46">
      <w:pPr>
        <w:pStyle w:val="Sinespaciado2"/>
        <w:spacing w:after="0"/>
        <w:jc w:val="both"/>
        <w:rPr>
          <w:rFonts w:ascii="Arial" w:hAnsi="Arial" w:cs="Arial"/>
          <w:b/>
          <w:bCs/>
          <w:shd w:val="clear" w:color="auto" w:fill="FFFFFF"/>
        </w:rPr>
      </w:pPr>
    </w:p>
    <w:p w:rsidR="0039019E" w:rsidRPr="0039019E" w:rsidRDefault="0039019E" w:rsidP="00023D46">
      <w:pPr>
        <w:spacing w:line="276" w:lineRule="auto"/>
        <w:jc w:val="both"/>
        <w:rPr>
          <w:rFonts w:cs="Arial"/>
          <w:sz w:val="22"/>
          <w:szCs w:val="22"/>
          <w:shd w:val="clear" w:color="auto" w:fill="FFFFFF"/>
        </w:rPr>
      </w:pPr>
      <w:r w:rsidRPr="0039019E">
        <w:rPr>
          <w:rFonts w:cs="Arial"/>
          <w:b/>
          <w:sz w:val="22"/>
          <w:szCs w:val="22"/>
          <w:lang w:val="es-MX"/>
        </w:rPr>
        <w:t xml:space="preserve">2.9.3.6. </w:t>
      </w:r>
      <w:r w:rsidRPr="0039019E">
        <w:rPr>
          <w:rFonts w:cs="Arial"/>
          <w:b/>
          <w:bCs/>
          <w:sz w:val="22"/>
          <w:szCs w:val="22"/>
          <w:shd w:val="clear" w:color="auto" w:fill="FFFFFF"/>
        </w:rPr>
        <w:t xml:space="preserve">Incumplimiento del acuerdo.  </w:t>
      </w:r>
      <w:r w:rsidRPr="0039019E">
        <w:rPr>
          <w:rFonts w:cs="Arial"/>
          <w:sz w:val="22"/>
          <w:szCs w:val="22"/>
          <w:shd w:val="clear" w:color="auto" w:fill="FFFFFF"/>
        </w:rPr>
        <w:t xml:space="preserve">Cuando la Secretaría de Hacienda, o quien haga sus veces, dentro del seguimiento a la ejecución del acuerdo de pago determine el incumplimiento de las condiciones, expedirá en el término de un (1) mes el acto por el cual declara el incumplimiento del acuerdo de pago, y se adelantarán o continuarán los procesos de cobro coactivo pertinentes. </w:t>
      </w:r>
    </w:p>
    <w:p w:rsidR="0039019E" w:rsidRDefault="0039019E" w:rsidP="00023D46">
      <w:pPr>
        <w:spacing w:line="276" w:lineRule="auto"/>
        <w:jc w:val="both"/>
        <w:rPr>
          <w:rFonts w:cs="Arial"/>
          <w:sz w:val="22"/>
          <w:szCs w:val="22"/>
          <w:shd w:val="clear" w:color="auto" w:fill="FFFFFF"/>
        </w:rPr>
      </w:pPr>
      <w:r w:rsidRPr="0039019E">
        <w:rPr>
          <w:rFonts w:cs="Arial"/>
          <w:sz w:val="22"/>
          <w:szCs w:val="22"/>
          <w:shd w:val="clear" w:color="auto" w:fill="FFFFFF"/>
        </w:rPr>
        <w:t xml:space="preserve">En caso de que el incumplimiento sea identificado por la Secretaría de Cultura, esta entidad comunicará a la Secretaría de Hacienda, quien en todo caso será la competente para adelantar el procedimiento de incumplimiento, con fundamento en lo establecido en el Estatuto Tributario Nacional. </w:t>
      </w:r>
    </w:p>
    <w:p w:rsidR="0039019E" w:rsidRPr="0039019E" w:rsidRDefault="0039019E" w:rsidP="00023D46">
      <w:pPr>
        <w:spacing w:line="276" w:lineRule="auto"/>
        <w:jc w:val="both"/>
        <w:rPr>
          <w:rFonts w:cs="Arial"/>
          <w:sz w:val="22"/>
          <w:szCs w:val="22"/>
          <w:shd w:val="clear" w:color="auto" w:fill="FFFFFF"/>
        </w:rPr>
      </w:pPr>
    </w:p>
    <w:p w:rsidR="0039019E" w:rsidRPr="0039019E" w:rsidRDefault="0039019E" w:rsidP="00023D46">
      <w:pPr>
        <w:spacing w:line="276" w:lineRule="auto"/>
        <w:jc w:val="both"/>
        <w:rPr>
          <w:rFonts w:cs="Arial"/>
          <w:sz w:val="22"/>
          <w:szCs w:val="22"/>
          <w:lang w:val="es-MX"/>
        </w:rPr>
      </w:pPr>
      <w:r w:rsidRPr="0039019E">
        <w:rPr>
          <w:rFonts w:cs="Arial"/>
          <w:b/>
          <w:sz w:val="22"/>
          <w:szCs w:val="22"/>
          <w:lang w:val="es-MX"/>
        </w:rPr>
        <w:t>Artículo 2º. Vigencias y derogatorias.</w:t>
      </w:r>
      <w:r w:rsidRPr="0039019E">
        <w:rPr>
          <w:rFonts w:cs="Arial"/>
          <w:sz w:val="22"/>
          <w:szCs w:val="22"/>
          <w:lang w:val="es-MX"/>
        </w:rPr>
        <w:t xml:space="preserve"> El presente Decreto rige a partir de la fecha de su publicación y deroga las disposiciones que le sean contrarias. </w:t>
      </w:r>
    </w:p>
    <w:p w:rsidR="0039019E" w:rsidRDefault="0039019E" w:rsidP="00023D46">
      <w:pPr>
        <w:spacing w:line="276" w:lineRule="auto"/>
        <w:rPr>
          <w:rFonts w:cs="Arial"/>
          <w:sz w:val="22"/>
          <w:szCs w:val="22"/>
          <w:lang w:val="es-MX"/>
        </w:rPr>
      </w:pPr>
    </w:p>
    <w:p w:rsidR="00023D46" w:rsidRPr="0039019E" w:rsidRDefault="00023D46" w:rsidP="00023D46">
      <w:pPr>
        <w:spacing w:line="276" w:lineRule="auto"/>
        <w:rPr>
          <w:rFonts w:cs="Arial"/>
          <w:sz w:val="22"/>
          <w:szCs w:val="22"/>
          <w:lang w:val="es-MX"/>
        </w:rPr>
      </w:pPr>
    </w:p>
    <w:p w:rsidR="0039019E" w:rsidRPr="0039019E" w:rsidRDefault="0039019E" w:rsidP="00023D46">
      <w:pPr>
        <w:pStyle w:val="Ttulo9"/>
        <w:spacing w:line="276" w:lineRule="auto"/>
        <w:jc w:val="center"/>
        <w:rPr>
          <w:rFonts w:ascii="Arial" w:hAnsi="Arial" w:cs="Arial"/>
          <w:sz w:val="22"/>
          <w:szCs w:val="22"/>
        </w:rPr>
      </w:pPr>
      <w:r w:rsidRPr="0039019E">
        <w:rPr>
          <w:rFonts w:ascii="Arial" w:hAnsi="Arial" w:cs="Arial"/>
          <w:sz w:val="22"/>
          <w:szCs w:val="22"/>
        </w:rPr>
        <w:t>PUBLÍQUESE Y CÚMPLASE</w:t>
      </w:r>
    </w:p>
    <w:p w:rsidR="0039019E" w:rsidRPr="0039019E" w:rsidRDefault="0039019E" w:rsidP="00023D46">
      <w:pPr>
        <w:spacing w:line="276" w:lineRule="auto"/>
        <w:ind w:left="-567" w:firstLine="567"/>
        <w:jc w:val="both"/>
        <w:rPr>
          <w:rFonts w:cs="Arial"/>
          <w:sz w:val="22"/>
          <w:szCs w:val="22"/>
        </w:rPr>
      </w:pPr>
      <w:r w:rsidRPr="0039019E">
        <w:rPr>
          <w:rFonts w:cs="Arial"/>
          <w:sz w:val="22"/>
          <w:szCs w:val="22"/>
        </w:rPr>
        <w:t>Dado en Bogotá, D.C., a los</w:t>
      </w:r>
    </w:p>
    <w:p w:rsidR="0039019E" w:rsidRDefault="0039019E" w:rsidP="00023D46">
      <w:pPr>
        <w:spacing w:line="276" w:lineRule="auto"/>
        <w:ind w:left="-567"/>
        <w:jc w:val="both"/>
        <w:rPr>
          <w:rFonts w:cs="Arial"/>
          <w:sz w:val="22"/>
          <w:szCs w:val="22"/>
        </w:rPr>
      </w:pPr>
    </w:p>
    <w:p w:rsidR="00023D46" w:rsidRPr="0039019E" w:rsidRDefault="00023D46" w:rsidP="00023D46">
      <w:pPr>
        <w:spacing w:line="276" w:lineRule="auto"/>
        <w:ind w:left="-567"/>
        <w:jc w:val="both"/>
        <w:rPr>
          <w:rFonts w:cs="Arial"/>
          <w:sz w:val="22"/>
          <w:szCs w:val="22"/>
        </w:rPr>
      </w:pPr>
    </w:p>
    <w:p w:rsidR="0039019E" w:rsidRPr="0039019E" w:rsidRDefault="0039019E" w:rsidP="00023D46">
      <w:pPr>
        <w:spacing w:line="276" w:lineRule="auto"/>
        <w:jc w:val="both"/>
        <w:rPr>
          <w:rFonts w:cs="Arial"/>
          <w:b/>
          <w:sz w:val="22"/>
          <w:szCs w:val="22"/>
        </w:rPr>
      </w:pPr>
      <w:r w:rsidRPr="0039019E">
        <w:rPr>
          <w:rFonts w:cs="Arial"/>
          <w:b/>
          <w:sz w:val="22"/>
          <w:szCs w:val="22"/>
        </w:rPr>
        <w:t>EL MINISTRO DE HACIENDA Y CRÉDITO PÚBLICO</w:t>
      </w:r>
    </w:p>
    <w:p w:rsidR="0039019E" w:rsidRPr="0039019E" w:rsidRDefault="0039019E" w:rsidP="00023D46">
      <w:pPr>
        <w:spacing w:line="276" w:lineRule="auto"/>
        <w:jc w:val="center"/>
        <w:rPr>
          <w:rFonts w:cs="Arial"/>
          <w:b/>
          <w:sz w:val="22"/>
          <w:szCs w:val="22"/>
        </w:rPr>
      </w:pPr>
    </w:p>
    <w:p w:rsidR="0039019E" w:rsidRDefault="0039019E" w:rsidP="00023D46">
      <w:pPr>
        <w:spacing w:line="276" w:lineRule="auto"/>
        <w:jc w:val="center"/>
        <w:rPr>
          <w:rFonts w:cs="Arial"/>
          <w:b/>
          <w:sz w:val="22"/>
          <w:szCs w:val="22"/>
        </w:rPr>
      </w:pPr>
    </w:p>
    <w:p w:rsidR="00023D46" w:rsidRDefault="00023D46" w:rsidP="00023D46">
      <w:pPr>
        <w:spacing w:line="276" w:lineRule="auto"/>
        <w:jc w:val="center"/>
        <w:rPr>
          <w:rFonts w:cs="Arial"/>
          <w:b/>
          <w:sz w:val="22"/>
          <w:szCs w:val="22"/>
        </w:rPr>
      </w:pPr>
    </w:p>
    <w:p w:rsidR="00023D46" w:rsidRPr="0039019E" w:rsidRDefault="00023D46" w:rsidP="00023D46">
      <w:pPr>
        <w:spacing w:line="276" w:lineRule="auto"/>
        <w:jc w:val="center"/>
        <w:rPr>
          <w:rFonts w:cs="Arial"/>
          <w:b/>
          <w:sz w:val="22"/>
          <w:szCs w:val="22"/>
        </w:rPr>
      </w:pPr>
    </w:p>
    <w:p w:rsidR="0039019E" w:rsidRPr="0039019E" w:rsidRDefault="0039019E" w:rsidP="00023D46">
      <w:pPr>
        <w:spacing w:line="276" w:lineRule="auto"/>
        <w:ind w:left="1416" w:firstLine="708"/>
        <w:jc w:val="right"/>
        <w:rPr>
          <w:rFonts w:cs="Arial"/>
          <w:b/>
          <w:sz w:val="22"/>
          <w:szCs w:val="22"/>
        </w:rPr>
      </w:pPr>
      <w:r w:rsidRPr="0039019E">
        <w:rPr>
          <w:rFonts w:cs="Arial"/>
          <w:b/>
          <w:sz w:val="22"/>
          <w:szCs w:val="22"/>
        </w:rPr>
        <w:t>MAURICIO CÁRDENAS SANTAMARÍA</w:t>
      </w:r>
    </w:p>
    <w:p w:rsidR="0039019E" w:rsidRDefault="0039019E" w:rsidP="00023D46">
      <w:pPr>
        <w:spacing w:line="276" w:lineRule="auto"/>
        <w:ind w:left="-567"/>
        <w:jc w:val="both"/>
        <w:rPr>
          <w:rFonts w:cs="Arial"/>
          <w:b/>
          <w:sz w:val="22"/>
          <w:szCs w:val="22"/>
        </w:rPr>
      </w:pPr>
    </w:p>
    <w:p w:rsidR="00023D46" w:rsidRPr="0039019E" w:rsidRDefault="00023D46" w:rsidP="00023D46">
      <w:pPr>
        <w:spacing w:line="276" w:lineRule="auto"/>
        <w:ind w:left="-567"/>
        <w:jc w:val="both"/>
        <w:rPr>
          <w:rFonts w:cs="Arial"/>
          <w:b/>
          <w:sz w:val="22"/>
          <w:szCs w:val="22"/>
        </w:rPr>
      </w:pPr>
    </w:p>
    <w:p w:rsidR="0039019E" w:rsidRPr="0039019E" w:rsidRDefault="0039019E" w:rsidP="00023D46">
      <w:pPr>
        <w:spacing w:line="276" w:lineRule="auto"/>
        <w:jc w:val="both"/>
        <w:rPr>
          <w:rFonts w:cs="Arial"/>
          <w:b/>
          <w:sz w:val="22"/>
          <w:szCs w:val="22"/>
        </w:rPr>
      </w:pPr>
      <w:r w:rsidRPr="0039019E">
        <w:rPr>
          <w:rFonts w:cs="Arial"/>
          <w:b/>
          <w:sz w:val="22"/>
          <w:szCs w:val="22"/>
        </w:rPr>
        <w:t>MINISTRA DE CULTURA</w:t>
      </w:r>
    </w:p>
    <w:p w:rsidR="0039019E" w:rsidRDefault="0039019E" w:rsidP="00023D46">
      <w:pPr>
        <w:spacing w:line="276" w:lineRule="auto"/>
        <w:ind w:left="-567"/>
        <w:rPr>
          <w:rFonts w:cs="Arial"/>
          <w:b/>
          <w:sz w:val="22"/>
          <w:szCs w:val="22"/>
        </w:rPr>
      </w:pPr>
    </w:p>
    <w:p w:rsidR="00023D46" w:rsidRDefault="00023D46" w:rsidP="00023D46">
      <w:pPr>
        <w:spacing w:line="276" w:lineRule="auto"/>
        <w:ind w:left="-567"/>
        <w:rPr>
          <w:rFonts w:cs="Arial"/>
          <w:b/>
          <w:sz w:val="22"/>
          <w:szCs w:val="22"/>
        </w:rPr>
      </w:pPr>
    </w:p>
    <w:p w:rsidR="00023D46" w:rsidRDefault="00023D46" w:rsidP="00023D46">
      <w:pPr>
        <w:spacing w:line="276" w:lineRule="auto"/>
        <w:ind w:left="-567"/>
        <w:rPr>
          <w:rFonts w:cs="Arial"/>
          <w:b/>
          <w:sz w:val="22"/>
          <w:szCs w:val="22"/>
        </w:rPr>
      </w:pPr>
    </w:p>
    <w:p w:rsidR="00023D46" w:rsidRPr="0039019E" w:rsidRDefault="00023D46" w:rsidP="00023D46">
      <w:pPr>
        <w:spacing w:line="276" w:lineRule="auto"/>
        <w:ind w:left="-567"/>
        <w:rPr>
          <w:rFonts w:cs="Arial"/>
          <w:b/>
          <w:sz w:val="22"/>
          <w:szCs w:val="22"/>
        </w:rPr>
      </w:pPr>
    </w:p>
    <w:p w:rsidR="00120230" w:rsidRPr="0039019E" w:rsidRDefault="0039019E" w:rsidP="00023D46">
      <w:pPr>
        <w:spacing w:line="276" w:lineRule="auto"/>
        <w:ind w:left="-567"/>
        <w:jc w:val="right"/>
        <w:rPr>
          <w:rFonts w:cs="Arial"/>
          <w:sz w:val="22"/>
          <w:szCs w:val="22"/>
        </w:rPr>
      </w:pPr>
      <w:r w:rsidRPr="0039019E">
        <w:rPr>
          <w:rFonts w:cs="Arial"/>
          <w:b/>
          <w:sz w:val="22"/>
          <w:szCs w:val="22"/>
        </w:rPr>
        <w:t>MARIANA GARCÉS CÓRDOBA</w:t>
      </w:r>
      <w:r w:rsidR="00207050" w:rsidRPr="0039019E">
        <w:rPr>
          <w:rFonts w:cs="Arial"/>
          <w:sz w:val="22"/>
          <w:szCs w:val="22"/>
        </w:rPr>
        <w:t xml:space="preserve"> </w:t>
      </w:r>
    </w:p>
    <w:sectPr w:rsidR="00120230" w:rsidRPr="0039019E" w:rsidSect="002A0F03">
      <w:headerReference w:type="default" r:id="rId10"/>
      <w:pgSz w:w="12242" w:h="18722" w:code="158"/>
      <w:pgMar w:top="2017" w:right="1134" w:bottom="1276" w:left="1701" w:header="567" w:footer="56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868" w:rsidRDefault="004C2868">
      <w:r>
        <w:separator/>
      </w:r>
    </w:p>
  </w:endnote>
  <w:endnote w:type="continuationSeparator" w:id="0">
    <w:p w:rsidR="004C2868" w:rsidRDefault="004C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1F" w:rsidRDefault="00D627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71F" w:rsidRDefault="00D6271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1F" w:rsidRDefault="00A96F58">
    <w:pPr>
      <w:pStyle w:val="Piedepgina"/>
      <w:rPr>
        <w:sz w:val="20"/>
      </w:rPr>
    </w:pPr>
    <w:r>
      <w:rPr>
        <w:noProof/>
        <w:sz w:val="20"/>
        <w:lang w:val="es-CO" w:eastAsia="es-CO"/>
      </w:rPr>
      <mc:AlternateContent>
        <mc:Choice Requires="wps">
          <w:drawing>
            <wp:anchor distT="0" distB="0" distL="114300" distR="114300" simplePos="0" relativeHeight="251657216" behindDoc="0" locked="0" layoutInCell="1" allowOverlap="1">
              <wp:simplePos x="0" y="0"/>
              <wp:positionH relativeFrom="column">
                <wp:posOffset>-311150</wp:posOffset>
              </wp:positionH>
              <wp:positionV relativeFrom="paragraph">
                <wp:posOffset>-182245</wp:posOffset>
              </wp:positionV>
              <wp:extent cx="6515100" cy="190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CE6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4.35pt" to="4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rNGwIAAD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" strokeweight="3pt">
              <v:stroke linestyle="thinTh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868" w:rsidRDefault="004C2868">
      <w:r>
        <w:separator/>
      </w:r>
    </w:p>
  </w:footnote>
  <w:footnote w:type="continuationSeparator" w:id="0">
    <w:p w:rsidR="004C2868" w:rsidRDefault="004C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1F" w:rsidRDefault="00A96F58">
    <w:pPr>
      <w:pStyle w:val="Encabezado"/>
      <w:jc w:val="center"/>
      <w:rPr>
        <w:i/>
      </w:rPr>
    </w:pPr>
    <w:r>
      <w:rPr>
        <w:i/>
        <w:noProof/>
        <w:sz w:val="20"/>
        <w:lang w:val="es-CO" w:eastAsia="es-CO"/>
      </w:rPr>
      <w:drawing>
        <wp:anchor distT="0" distB="0" distL="114300" distR="114300" simplePos="0" relativeHeight="251658240" behindDoc="0" locked="0" layoutInCell="0" allowOverlap="1">
          <wp:simplePos x="0" y="0"/>
          <wp:positionH relativeFrom="column">
            <wp:posOffset>2630170</wp:posOffset>
          </wp:positionH>
          <wp:positionV relativeFrom="paragraph">
            <wp:posOffset>100330</wp:posOffset>
          </wp:positionV>
          <wp:extent cx="609600" cy="628650"/>
          <wp:effectExtent l="0" t="0" r="0" b="0"/>
          <wp:wrapNone/>
          <wp:docPr id="10" name="Imagen 6" descr="http://www.presidencia.gov.co/webpresi/patrio/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esidencia.gov.co/webpresi/patrio/escudo.gif"/>
                  <pic:cNvPicPr>
                    <a:picLocks noChangeAspect="1" noChangeArrowheads="1"/>
                  </pic:cNvPicPr>
                </pic:nvPicPr>
                <pic:blipFill>
                  <a:blip r:embed="rId1" r:link="rId2">
                    <a:lum contrast="30000"/>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pic:spPr>
              </pic:pic>
            </a:graphicData>
          </a:graphic>
          <wp14:sizeRelH relativeFrom="page">
            <wp14:pctWidth>0</wp14:pctWidth>
          </wp14:sizeRelH>
          <wp14:sizeRelV relativeFrom="page">
            <wp14:pctHeight>0</wp14:pctHeight>
          </wp14:sizeRelV>
        </wp:anchor>
      </w:drawing>
    </w:r>
  </w:p>
  <w:p w:rsidR="00D6271F" w:rsidRDefault="00D6271F">
    <w:pPr>
      <w:pStyle w:val="Encabezado"/>
      <w:jc w:val="center"/>
      <w:rPr>
        <w:i/>
        <w:sz w:val="16"/>
      </w:rPr>
    </w:pPr>
  </w:p>
  <w:p w:rsidR="00D6271F" w:rsidRDefault="00D6271F">
    <w:pPr>
      <w:pStyle w:val="Encabezado"/>
      <w:tabs>
        <w:tab w:val="clear" w:pos="8504"/>
      </w:tabs>
      <w:jc w:val="center"/>
      <w:rPr>
        <w:i/>
        <w:sz w:val="16"/>
      </w:rPr>
    </w:pPr>
  </w:p>
  <w:p w:rsidR="00D6271F" w:rsidRDefault="00A96F58">
    <w:pPr>
      <w:pStyle w:val="Encabezado"/>
      <w:tabs>
        <w:tab w:val="clear" w:pos="8504"/>
      </w:tabs>
      <w:jc w:val="center"/>
      <w:rPr>
        <w:i/>
        <w:sz w:val="16"/>
      </w:rPr>
    </w:pPr>
    <w:r>
      <w:rPr>
        <w:i/>
        <w:noProof/>
        <w:sz w:val="16"/>
        <w:lang w:val="es-CO" w:eastAsia="es-CO"/>
      </w:rPr>
      <mc:AlternateContent>
        <mc:Choice Requires="wps">
          <w:drawing>
            <wp:anchor distT="0" distB="0" distL="114300" distR="114300" simplePos="0" relativeHeight="251654144" behindDoc="0" locked="0" layoutInCell="0" allowOverlap="1">
              <wp:simplePos x="0" y="0"/>
              <wp:positionH relativeFrom="column">
                <wp:posOffset>6161405</wp:posOffset>
              </wp:positionH>
              <wp:positionV relativeFrom="paragraph">
                <wp:posOffset>31115</wp:posOffset>
              </wp:positionV>
              <wp:extent cx="5715" cy="1039876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398760"/>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EE4F9"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15pt,2.45pt" to="485.6pt,8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" o:allowincell="f" strokeweight="3pt">
              <v:stroke startarrowwidth="narrow" startarrowlength="short" endarrowwidth="narrow" endarrowlength="short" linestyle="thinThin"/>
            </v:line>
          </w:pict>
        </mc:Fallback>
      </mc:AlternateContent>
    </w:r>
    <w:r>
      <w:rPr>
        <w:noProof/>
        <w:lang w:val="es-CO" w:eastAsia="es-CO"/>
      </w:rPr>
      <mc:AlternateContent>
        <mc:Choice Requires="wps">
          <w:drawing>
            <wp:anchor distT="0" distB="0" distL="114300" distR="114300" simplePos="0" relativeHeight="251655168" behindDoc="0" locked="0" layoutInCell="0" allowOverlap="1">
              <wp:simplePos x="0" y="0"/>
              <wp:positionH relativeFrom="column">
                <wp:posOffset>-275590</wp:posOffset>
              </wp:positionH>
              <wp:positionV relativeFrom="paragraph">
                <wp:posOffset>-5080</wp:posOffset>
              </wp:positionV>
              <wp:extent cx="1905" cy="1043495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43495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CC3B4"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4pt" to="-21.55pt,8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" o:allowincell="f" strokeweight="3pt">
              <v:stroke startarrowwidth="narrow" startarrowlength="short" endarrowwidth="narrow" endarrowlength="short" linestyle="thinThin"/>
            </v:line>
          </w:pict>
        </mc:Fallback>
      </mc:AlternateContent>
    </w:r>
    <w:r>
      <w:rPr>
        <w:i/>
        <w:noProof/>
        <w:sz w:val="16"/>
        <w:lang w:val="es-CO" w:eastAsia="es-CO"/>
      </w:rPr>
      <mc:AlternateContent>
        <mc:Choice Requires="wps">
          <w:drawing>
            <wp:anchor distT="0" distB="0" distL="114300" distR="114300" simplePos="0" relativeHeight="251653120" behindDoc="0" locked="0" layoutInCell="1" allowOverlap="1">
              <wp:simplePos x="0" y="0"/>
              <wp:positionH relativeFrom="column">
                <wp:posOffset>4799965</wp:posOffset>
              </wp:positionH>
              <wp:positionV relativeFrom="paragraph">
                <wp:posOffset>21590</wp:posOffset>
              </wp:positionV>
              <wp:extent cx="1367155" cy="6985"/>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155" cy="698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34FD2" id="Line 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95pt,1.7pt" to="485.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" strokeweight="3pt">
              <v:stroke startarrowwidth="narrow" startarrowlength="short" endarrowwidth="narrow" endarrowlength="short" linestyle="thinThin"/>
            </v:line>
          </w:pict>
        </mc:Fallback>
      </mc:AlternateContent>
    </w:r>
    <w:r>
      <w:rPr>
        <w:i/>
        <w:noProof/>
        <w:sz w:val="16"/>
        <w:lang w:val="es-CO" w:eastAsia="es-CO"/>
      </w:rPr>
      <mc:AlternateContent>
        <mc:Choice Requires="wps">
          <w:drawing>
            <wp:anchor distT="0" distB="0" distL="114300" distR="114300" simplePos="0" relativeHeight="251656192" behindDoc="0" locked="0" layoutInCell="0" allowOverlap="1">
              <wp:simplePos x="0" y="0"/>
              <wp:positionH relativeFrom="column">
                <wp:posOffset>-277495</wp:posOffset>
              </wp:positionH>
              <wp:positionV relativeFrom="paragraph">
                <wp:posOffset>13970</wp:posOffset>
              </wp:positionV>
              <wp:extent cx="1640205" cy="190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205" cy="190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6B5A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1pt" to="10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" o:allowincell="f" strokeweight="3pt">
              <v:stroke startarrowwidth="narrow" startarrowlength="short" endarrowwidth="narrow" endarrowlength="short" linestyle="thinThin"/>
            </v:line>
          </w:pict>
        </mc:Fallback>
      </mc:AlternateContent>
    </w:r>
  </w:p>
  <w:p w:rsidR="00D6271F" w:rsidRDefault="00D6271F">
    <w:pPr>
      <w:pStyle w:val="Encabezado"/>
      <w:jc w:val="center"/>
      <w:rPr>
        <w:i/>
        <w:sz w:val="16"/>
      </w:rPr>
    </w:pPr>
  </w:p>
  <w:p w:rsidR="00D6271F" w:rsidRDefault="00D6271F">
    <w:pPr>
      <w:pStyle w:val="Encabezado"/>
      <w:jc w:val="center"/>
      <w:rPr>
        <w:i/>
        <w:sz w:val="10"/>
      </w:rPr>
    </w:pPr>
  </w:p>
  <w:p w:rsidR="00D6271F" w:rsidRDefault="00D6271F">
    <w:pPr>
      <w:widowControl w:val="0"/>
      <w:autoSpaceDE w:val="0"/>
      <w:autoSpaceDN w:val="0"/>
      <w:adjustRightInd w:val="0"/>
      <w:jc w:val="center"/>
      <w:rPr>
        <w:sz w:val="16"/>
      </w:rPr>
    </w:pPr>
    <w:r>
      <w:rPr>
        <w:sz w:val="16"/>
      </w:rPr>
      <w:t>República de Colombia</w:t>
    </w:r>
  </w:p>
  <w:p w:rsidR="00D6271F" w:rsidRDefault="00D6271F">
    <w:pPr>
      <w:widowControl w:val="0"/>
      <w:autoSpaceDE w:val="0"/>
      <w:autoSpaceDN w:val="0"/>
      <w:adjustRightInd w:val="0"/>
      <w:jc w:val="center"/>
      <w:rPr>
        <w:b/>
        <w:sz w:val="28"/>
      </w:rPr>
    </w:pPr>
    <w:smartTag w:uri="urn:schemas-microsoft-com:office:smarttags" w:element="PersonName">
      <w:smartTagPr>
        <w:attr w:name="ProductID" w:val="Ministerio de Cultura"/>
      </w:smartTagPr>
      <w:r>
        <w:t>Ministerio de Cultura</w:t>
      </w:r>
    </w:smartTag>
  </w:p>
  <w:p w:rsidR="00D6271F" w:rsidRDefault="00D6271F">
    <w:pPr>
      <w:pStyle w:val="Encabezado"/>
      <w:jc w:val="center"/>
      <w:rPr>
        <w:i/>
        <w:sz w:val="22"/>
      </w:rPr>
    </w:pPr>
  </w:p>
  <w:p w:rsidR="00D6271F" w:rsidRPr="0039019E" w:rsidRDefault="0039019E">
    <w:pPr>
      <w:pStyle w:val="Encabezado"/>
      <w:jc w:val="center"/>
      <w:rPr>
        <w:rFonts w:cs="Arial"/>
        <w:i/>
        <w:sz w:val="20"/>
      </w:rPr>
    </w:pPr>
    <w:r w:rsidRPr="0039019E">
      <w:rPr>
        <w:rFonts w:cs="Arial"/>
        <w:i/>
        <w:sz w:val="20"/>
      </w:rPr>
      <w:t>Decreto</w:t>
    </w:r>
    <w:r w:rsidR="00D6271F" w:rsidRPr="0039019E">
      <w:rPr>
        <w:rFonts w:cs="Arial"/>
        <w:i/>
        <w:sz w:val="20"/>
      </w:rPr>
      <w:t xml:space="preserve">  Número                                    de  20</w:t>
    </w:r>
    <w:r w:rsidR="00B63497" w:rsidRPr="0039019E">
      <w:rPr>
        <w:rFonts w:cs="Arial"/>
        <w:i/>
        <w:sz w:val="20"/>
      </w:rPr>
      <w:t>1</w:t>
    </w:r>
    <w:r w:rsidR="009D22E5" w:rsidRPr="0039019E">
      <w:rPr>
        <w:rFonts w:cs="Arial"/>
        <w:i/>
        <w:sz w:val="20"/>
      </w:rPr>
      <w:t>7</w:t>
    </w:r>
  </w:p>
  <w:p w:rsidR="00D6271F" w:rsidRPr="0039019E" w:rsidRDefault="00D6271F" w:rsidP="00E24A40">
    <w:pPr>
      <w:pStyle w:val="Encabezado"/>
      <w:jc w:val="center"/>
      <w:rPr>
        <w:rFonts w:cs="Arial"/>
        <w:b/>
        <w:i/>
        <w:sz w:val="20"/>
      </w:rPr>
    </w:pPr>
    <w:r w:rsidRPr="0039019E">
      <w:rPr>
        <w:rFonts w:cs="Arial"/>
        <w:b/>
        <w:i/>
        <w:sz w:val="20"/>
      </w:rPr>
      <w:tab/>
    </w:r>
  </w:p>
  <w:p w:rsidR="00D6271F" w:rsidRPr="0039019E" w:rsidRDefault="00D6271F" w:rsidP="00120230">
    <w:pPr>
      <w:jc w:val="center"/>
      <w:rPr>
        <w:rFonts w:cs="Arial"/>
        <w:i/>
        <w:sz w:val="20"/>
      </w:rPr>
    </w:pPr>
    <w:r w:rsidRPr="0039019E">
      <w:rPr>
        <w:rFonts w:cs="Arial"/>
        <w:i/>
        <w:sz w:val="20"/>
      </w:rPr>
      <w:t>“</w:t>
    </w:r>
    <w:r w:rsidR="0039019E" w:rsidRPr="0039019E">
      <w:rPr>
        <w:rFonts w:cs="Arial"/>
        <w:b/>
        <w:i/>
        <w:sz w:val="20"/>
      </w:rPr>
      <w:t>Por el cual se adiciona el Decreto 1080 de 2015 en lo relacionado con la reglamentación del artículo 225 de la Ley 1753 de 2015, referente a la Promoción de Artes Escénicas</w:t>
    </w:r>
    <w:r w:rsidRPr="0039019E">
      <w:rPr>
        <w:rFonts w:cs="Arial"/>
        <w:i/>
        <w:sz w:val="20"/>
        <w:lang w:val="es-MX"/>
      </w:rPr>
      <w:t>”</w:t>
    </w:r>
  </w:p>
  <w:p w:rsidR="00D6271F" w:rsidRDefault="00D6271F">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1F" w:rsidRDefault="00A96F58">
    <w:pPr>
      <w:pStyle w:val="Encabezado"/>
      <w:jc w:val="center"/>
      <w:rPr>
        <w:rStyle w:val="Nmerodepgina"/>
        <w:sz w:val="20"/>
      </w:rPr>
    </w:pPr>
    <w:r>
      <w:rPr>
        <w:b/>
        <w:noProof/>
        <w:lang w:val="es-CO" w:eastAsia="es-CO"/>
      </w:rPr>
      <mc:AlternateContent>
        <mc:Choice Requires="wps">
          <w:drawing>
            <wp:anchor distT="0" distB="0" distL="114300" distR="114300" simplePos="0" relativeHeight="251661312" behindDoc="0" locked="0" layoutInCell="0" allowOverlap="1">
              <wp:simplePos x="0" y="0"/>
              <wp:positionH relativeFrom="column">
                <wp:posOffset>-235585</wp:posOffset>
              </wp:positionH>
              <wp:positionV relativeFrom="paragraph">
                <wp:posOffset>122555</wp:posOffset>
              </wp:positionV>
              <wp:extent cx="0" cy="1072007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20070"/>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34502" id="Line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9.65pt" to="-18.55pt,8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" o:allowincell="f" strokeweight="3pt">
              <v:stroke startarrowwidth="narrow" startarrowlength="short" endarrowwidth="narrow" endarrowlength="short" linestyle="thinThin"/>
            </v:line>
          </w:pict>
        </mc:Fallback>
      </mc:AlternateContent>
    </w:r>
    <w:r>
      <w:rPr>
        <w:b/>
        <w:i/>
        <w:noProof/>
        <w:sz w:val="16"/>
        <w:lang w:val="es-CO" w:eastAsia="es-CO"/>
      </w:rPr>
      <mc:AlternateContent>
        <mc:Choice Requires="wps">
          <w:drawing>
            <wp:anchor distT="0" distB="0" distL="114300" distR="114300" simplePos="0" relativeHeight="251660288" behindDoc="0" locked="0" layoutInCell="0" allowOverlap="1">
              <wp:simplePos x="0" y="0"/>
              <wp:positionH relativeFrom="column">
                <wp:posOffset>6203950</wp:posOffset>
              </wp:positionH>
              <wp:positionV relativeFrom="paragraph">
                <wp:posOffset>128270</wp:posOffset>
              </wp:positionV>
              <wp:extent cx="0" cy="1071435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1435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95CCB" id="Line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0.1pt" to="488.5pt,8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" o:allowincell="f" strokeweight="3pt">
              <v:stroke startarrowwidth="narrow" startarrowlength="short" endarrowwidth="narrow" endarrowlength="short" linestyle="thinThin"/>
            </v:line>
          </w:pict>
        </mc:Fallback>
      </mc:AlternateContent>
    </w:r>
    <w:r>
      <w:rPr>
        <w:b/>
        <w:i/>
        <w:noProof/>
        <w:sz w:val="16"/>
        <w:lang w:val="es-CO" w:eastAsia="es-CO"/>
      </w:rPr>
      <mc:AlternateContent>
        <mc:Choice Requires="wps">
          <w:drawing>
            <wp:anchor distT="0" distB="0" distL="114300" distR="114300" simplePos="0" relativeHeight="251662336" behindDoc="0" locked="0" layoutInCell="0" allowOverlap="1">
              <wp:simplePos x="0" y="0"/>
              <wp:positionH relativeFrom="column">
                <wp:posOffset>-235585</wp:posOffset>
              </wp:positionH>
              <wp:positionV relativeFrom="paragraph">
                <wp:posOffset>97790</wp:posOffset>
              </wp:positionV>
              <wp:extent cx="689610" cy="317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317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947C8"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7.7pt" to="3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" o:allowincell="f" strokeweight="3pt">
              <v:stroke startarrowwidth="narrow" startarrowlength="short" endarrowwidth="narrow" endarrowlength="short" linestyle="thinThin"/>
            </v:line>
          </w:pict>
        </mc:Fallback>
      </mc:AlternateContent>
    </w:r>
    <w:r>
      <w:rPr>
        <w:b/>
        <w:i/>
        <w:noProof/>
        <w:sz w:val="16"/>
        <w:lang w:val="es-CO" w:eastAsia="es-CO"/>
      </w:rPr>
      <mc:AlternateContent>
        <mc:Choice Requires="wps">
          <w:drawing>
            <wp:anchor distT="0" distB="0" distL="114300" distR="114300" simplePos="0" relativeHeight="251659264" behindDoc="0" locked="0" layoutInCell="0" allowOverlap="1">
              <wp:simplePos x="0" y="0"/>
              <wp:positionH relativeFrom="column">
                <wp:posOffset>5588635</wp:posOffset>
              </wp:positionH>
              <wp:positionV relativeFrom="paragraph">
                <wp:posOffset>122555</wp:posOffset>
              </wp:positionV>
              <wp:extent cx="615315" cy="571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571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ADA97"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9.65pt" to="48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" o:allowincell="f" strokeweight="3pt">
              <v:stroke startarrowwidth="narrow" startarrowlength="short" endarrowwidth="narrow" endarrowlength="short" linestyle="thinThin"/>
            </v:line>
          </w:pict>
        </mc:Fallback>
      </mc:AlternateContent>
    </w:r>
    <w:r w:rsidR="00D6271F">
      <w:rPr>
        <w:b/>
        <w:i/>
        <w:sz w:val="20"/>
      </w:rPr>
      <w:t xml:space="preserve">Resolución Número  </w:t>
    </w:r>
    <w:r w:rsidR="00D6271F">
      <w:rPr>
        <w:b/>
        <w:i/>
        <w:sz w:val="20"/>
        <w:u w:val="single"/>
      </w:rPr>
      <w:t xml:space="preserve">                                    </w:t>
    </w:r>
    <w:r w:rsidR="00D6271F">
      <w:rPr>
        <w:b/>
        <w:i/>
        <w:sz w:val="20"/>
      </w:rPr>
      <w:t xml:space="preserve"> de </w:t>
    </w:r>
    <w:r w:rsidR="00D6271F">
      <w:rPr>
        <w:b/>
        <w:i/>
        <w:sz w:val="20"/>
        <w:u w:val="single"/>
      </w:rPr>
      <w:t xml:space="preserve">                           </w:t>
    </w:r>
    <w:r w:rsidR="00D6271F">
      <w:rPr>
        <w:b/>
        <w:i/>
        <w:sz w:val="20"/>
      </w:rPr>
      <w:t xml:space="preserve"> Hoja No. </w:t>
    </w:r>
    <w:r w:rsidR="00D6271F">
      <w:rPr>
        <w:rStyle w:val="Nmerodepgina"/>
        <w:i/>
        <w:sz w:val="20"/>
      </w:rPr>
      <w:fldChar w:fldCharType="begin"/>
    </w:r>
    <w:r w:rsidR="00D6271F">
      <w:rPr>
        <w:rStyle w:val="Nmerodepgina"/>
        <w:i/>
        <w:sz w:val="20"/>
      </w:rPr>
      <w:instrText xml:space="preserve"> PAGE </w:instrText>
    </w:r>
    <w:r w:rsidR="00D6271F">
      <w:rPr>
        <w:rStyle w:val="Nmerodepgina"/>
        <w:i/>
        <w:sz w:val="20"/>
      </w:rPr>
      <w:fldChar w:fldCharType="separate"/>
    </w:r>
    <w:r w:rsidR="00023D46">
      <w:rPr>
        <w:rStyle w:val="Nmerodepgina"/>
        <w:i/>
        <w:noProof/>
        <w:sz w:val="20"/>
      </w:rPr>
      <w:t>4</w:t>
    </w:r>
    <w:r w:rsidR="00D6271F">
      <w:rPr>
        <w:rStyle w:val="Nmerodepgina"/>
        <w:i/>
        <w:sz w:val="20"/>
      </w:rPr>
      <w:fldChar w:fldCharType="end"/>
    </w:r>
    <w:r w:rsidR="00D6271F">
      <w:rPr>
        <w:rStyle w:val="Nmerodepgina"/>
        <w:i/>
        <w:sz w:val="20"/>
      </w:rPr>
      <w:t xml:space="preserve"> </w:t>
    </w:r>
    <w:r w:rsidR="00D6271F">
      <w:rPr>
        <w:b/>
        <w:i/>
        <w:snapToGrid w:val="0"/>
        <w:sz w:val="20"/>
      </w:rPr>
      <w:t xml:space="preserve">de  </w:t>
    </w:r>
    <w:r w:rsidR="00D6271F">
      <w:rPr>
        <w:rStyle w:val="Nmerodepgina"/>
        <w:sz w:val="20"/>
      </w:rPr>
      <w:fldChar w:fldCharType="begin"/>
    </w:r>
    <w:r w:rsidR="00D6271F">
      <w:rPr>
        <w:rStyle w:val="Nmerodepgina"/>
        <w:sz w:val="20"/>
      </w:rPr>
      <w:instrText xml:space="preserve"> NUMPAGES </w:instrText>
    </w:r>
    <w:r w:rsidR="00D6271F">
      <w:rPr>
        <w:rStyle w:val="Nmerodepgina"/>
        <w:sz w:val="20"/>
      </w:rPr>
      <w:fldChar w:fldCharType="separate"/>
    </w:r>
    <w:r w:rsidR="00023D46">
      <w:rPr>
        <w:rStyle w:val="Nmerodepgina"/>
        <w:noProof/>
        <w:sz w:val="20"/>
      </w:rPr>
      <w:t>4</w:t>
    </w:r>
    <w:r w:rsidR="00D6271F">
      <w:rPr>
        <w:rStyle w:val="Nmerodepgina"/>
        <w:sz w:val="20"/>
      </w:rPr>
      <w:fldChar w:fldCharType="end"/>
    </w:r>
  </w:p>
  <w:p w:rsidR="00D6271F" w:rsidRDefault="00D6271F">
    <w:pPr>
      <w:pStyle w:val="Encabezado"/>
      <w:jc w:val="center"/>
      <w:rPr>
        <w:rStyle w:val="Nmerodepgina"/>
        <w:sz w:val="20"/>
      </w:rPr>
    </w:pPr>
  </w:p>
  <w:p w:rsidR="00D6271F" w:rsidRPr="0039019E" w:rsidRDefault="00D6271F" w:rsidP="009D22E5">
    <w:pPr>
      <w:jc w:val="center"/>
      <w:rPr>
        <w:rFonts w:cs="Arial"/>
        <w:i/>
        <w:sz w:val="20"/>
      </w:rPr>
    </w:pPr>
    <w:r w:rsidRPr="0039019E">
      <w:rPr>
        <w:rFonts w:cs="Arial"/>
        <w:i/>
        <w:sz w:val="20"/>
      </w:rPr>
      <w:t>“</w:t>
    </w:r>
    <w:r w:rsidR="0039019E" w:rsidRPr="0039019E">
      <w:rPr>
        <w:rFonts w:cs="Arial"/>
        <w:b/>
        <w:i/>
        <w:sz w:val="20"/>
      </w:rPr>
      <w:t>Por el cual se adiciona el Decreto 1080 de 2015 en lo relacionado con la reglamentación del artículo 225 de la Ley 1753 de 2015, referente a la Promoción de Artes Escénicas</w:t>
    </w:r>
    <w:r w:rsidRPr="0039019E">
      <w:rPr>
        <w:rFonts w:cs="Arial"/>
        <w:i/>
        <w:sz w:val="20"/>
        <w:lang w:val="es-MX"/>
      </w:rPr>
      <w:t>”</w:t>
    </w:r>
  </w:p>
  <w:p w:rsidR="00D6271F" w:rsidRPr="0039019E" w:rsidRDefault="00D6271F">
    <w:pPr>
      <w:pStyle w:val="Encabezado"/>
      <w:jc w:val="center"/>
      <w:rPr>
        <w:rFonts w:cs="Arial"/>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609"/>
    <w:multiLevelType w:val="hybridMultilevel"/>
    <w:tmpl w:val="0040DE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95873"/>
    <w:multiLevelType w:val="hybridMultilevel"/>
    <w:tmpl w:val="D518B4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D4C49"/>
    <w:multiLevelType w:val="hybridMultilevel"/>
    <w:tmpl w:val="7272FB72"/>
    <w:lvl w:ilvl="0" w:tplc="F66C2852">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00368D"/>
    <w:multiLevelType w:val="hybridMultilevel"/>
    <w:tmpl w:val="89BC7BC4"/>
    <w:lvl w:ilvl="0" w:tplc="B270F4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16691C"/>
    <w:multiLevelType w:val="hybridMultilevel"/>
    <w:tmpl w:val="315CF0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D4780F"/>
    <w:multiLevelType w:val="hybridMultilevel"/>
    <w:tmpl w:val="6E1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494070"/>
    <w:multiLevelType w:val="hybridMultilevel"/>
    <w:tmpl w:val="A59E4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14D67D85"/>
    <w:multiLevelType w:val="hybridMultilevel"/>
    <w:tmpl w:val="7272FB72"/>
    <w:lvl w:ilvl="0" w:tplc="F66C2852">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5074D"/>
    <w:multiLevelType w:val="hybridMultilevel"/>
    <w:tmpl w:val="7C121C2A"/>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B2C1FA3"/>
    <w:multiLevelType w:val="hybridMultilevel"/>
    <w:tmpl w:val="D4C66BE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BF06C5F"/>
    <w:multiLevelType w:val="hybridMultilevel"/>
    <w:tmpl w:val="6B0AFE1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28C07EF6"/>
    <w:multiLevelType w:val="hybridMultilevel"/>
    <w:tmpl w:val="CAA2685E"/>
    <w:lvl w:ilvl="0" w:tplc="0C0A0001">
      <w:start w:val="1"/>
      <w:numFmt w:val="bullet"/>
      <w:lvlText w:val=""/>
      <w:lvlJc w:val="left"/>
      <w:pPr>
        <w:tabs>
          <w:tab w:val="num" w:pos="360"/>
        </w:tabs>
        <w:ind w:left="340" w:hanging="340"/>
      </w:pPr>
      <w:rPr>
        <w:rFonts w:ascii="Symbol" w:hAnsi="Symbol"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95B96"/>
    <w:multiLevelType w:val="hybridMultilevel"/>
    <w:tmpl w:val="DF9E5652"/>
    <w:lvl w:ilvl="0" w:tplc="4C0CBBD2">
      <w:numFmt w:val="bullet"/>
      <w:lvlText w:val="•"/>
      <w:lvlJc w:val="left"/>
      <w:pPr>
        <w:ind w:left="1068" w:hanging="360"/>
      </w:pPr>
      <w:rPr>
        <w:rFonts w:ascii="Times New Roman" w:eastAsia="Times New Roman" w:hAnsi="Times New Roman"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47C81980"/>
    <w:multiLevelType w:val="hybridMultilevel"/>
    <w:tmpl w:val="17AC8238"/>
    <w:lvl w:ilvl="0" w:tplc="12489130">
      <w:numFmt w:val="bullet"/>
      <w:lvlText w:val="•"/>
      <w:lvlJc w:val="left"/>
      <w:pPr>
        <w:ind w:left="1590" w:hanging="1230"/>
      </w:pPr>
      <w:rPr>
        <w:rFonts w:ascii="Times New Roman" w:eastAsia="Times New Roman" w:hAnsi="Times New Roman" w:cs="Times New Roman"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BC7B2E"/>
    <w:multiLevelType w:val="hybridMultilevel"/>
    <w:tmpl w:val="D4C88378"/>
    <w:lvl w:ilvl="0" w:tplc="0AB4FBFE">
      <w:numFmt w:val="bullet"/>
      <w:lvlText w:val="•"/>
      <w:lvlJc w:val="left"/>
      <w:pPr>
        <w:ind w:left="1413" w:hanging="705"/>
      </w:pPr>
      <w:rPr>
        <w:rFonts w:ascii="Times New Roman" w:eastAsia="Times New Roman" w:hAnsi="Times New Roman"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56FE07C8"/>
    <w:multiLevelType w:val="hybridMultilevel"/>
    <w:tmpl w:val="E8583692"/>
    <w:lvl w:ilvl="0" w:tplc="0C0A0017">
      <w:start w:val="1"/>
      <w:numFmt w:val="lowerLetter"/>
      <w:lvlText w:val="%1)"/>
      <w:lvlJc w:val="left"/>
      <w:pPr>
        <w:tabs>
          <w:tab w:val="num" w:pos="720"/>
        </w:tabs>
        <w:ind w:left="720" w:hanging="360"/>
      </w:pPr>
    </w:lvl>
    <w:lvl w:ilvl="1" w:tplc="0C7C2B9C">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29E2244"/>
    <w:multiLevelType w:val="hybridMultilevel"/>
    <w:tmpl w:val="F4424DF0"/>
    <w:lvl w:ilvl="0" w:tplc="41468C3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3CD68FC"/>
    <w:multiLevelType w:val="hybridMultilevel"/>
    <w:tmpl w:val="B8784D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7F1D6F"/>
    <w:multiLevelType w:val="hybridMultilevel"/>
    <w:tmpl w:val="BB5EB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BC50C14"/>
    <w:multiLevelType w:val="hybridMultilevel"/>
    <w:tmpl w:val="2244F6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15"/>
  </w:num>
  <w:num w:numId="5">
    <w:abstractNumId w:val="4"/>
  </w:num>
  <w:num w:numId="6">
    <w:abstractNumId w:val="1"/>
  </w:num>
  <w:num w:numId="7">
    <w:abstractNumId w:val="8"/>
  </w:num>
  <w:num w:numId="8">
    <w:abstractNumId w:val="9"/>
  </w:num>
  <w:num w:numId="9">
    <w:abstractNumId w:val="0"/>
  </w:num>
  <w:num w:numId="10">
    <w:abstractNumId w:val="10"/>
  </w:num>
  <w:num w:numId="11">
    <w:abstractNumId w:val="12"/>
  </w:num>
  <w:num w:numId="12">
    <w:abstractNumId w:val="19"/>
  </w:num>
  <w:num w:numId="13">
    <w:abstractNumId w:val="13"/>
  </w:num>
  <w:num w:numId="14">
    <w:abstractNumId w:val="16"/>
  </w:num>
  <w:num w:numId="15">
    <w:abstractNumId w:val="6"/>
  </w:num>
  <w:num w:numId="16">
    <w:abstractNumId w:val="14"/>
  </w:num>
  <w:num w:numId="17">
    <w:abstractNumId w:val="18"/>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s-MX" w:vendorID="9" w:dllVersion="512"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2C"/>
    <w:rsid w:val="00004DDA"/>
    <w:rsid w:val="000111CA"/>
    <w:rsid w:val="000139A7"/>
    <w:rsid w:val="00014A74"/>
    <w:rsid w:val="00023D46"/>
    <w:rsid w:val="0002675A"/>
    <w:rsid w:val="000315F0"/>
    <w:rsid w:val="00037E60"/>
    <w:rsid w:val="00051177"/>
    <w:rsid w:val="00064A79"/>
    <w:rsid w:val="00067190"/>
    <w:rsid w:val="0006784A"/>
    <w:rsid w:val="000735B5"/>
    <w:rsid w:val="0008059D"/>
    <w:rsid w:val="000846DE"/>
    <w:rsid w:val="00091618"/>
    <w:rsid w:val="000B0786"/>
    <w:rsid w:val="000C70DC"/>
    <w:rsid w:val="000D0821"/>
    <w:rsid w:val="000E31AB"/>
    <w:rsid w:val="000E7E6E"/>
    <w:rsid w:val="000F526B"/>
    <w:rsid w:val="00100AEE"/>
    <w:rsid w:val="00103600"/>
    <w:rsid w:val="00104E39"/>
    <w:rsid w:val="00116277"/>
    <w:rsid w:val="00117EB3"/>
    <w:rsid w:val="00120230"/>
    <w:rsid w:val="00125D6E"/>
    <w:rsid w:val="001261D0"/>
    <w:rsid w:val="00126534"/>
    <w:rsid w:val="001301CE"/>
    <w:rsid w:val="00147BBC"/>
    <w:rsid w:val="001670BC"/>
    <w:rsid w:val="00170080"/>
    <w:rsid w:val="00180433"/>
    <w:rsid w:val="00190788"/>
    <w:rsid w:val="00190E38"/>
    <w:rsid w:val="001914B9"/>
    <w:rsid w:val="00197E91"/>
    <w:rsid w:val="001A5540"/>
    <w:rsid w:val="001C7BD3"/>
    <w:rsid w:val="001E29F4"/>
    <w:rsid w:val="001E2BB6"/>
    <w:rsid w:val="001E645D"/>
    <w:rsid w:val="0020034B"/>
    <w:rsid w:val="002017B1"/>
    <w:rsid w:val="00202BE1"/>
    <w:rsid w:val="00207050"/>
    <w:rsid w:val="00213E5E"/>
    <w:rsid w:val="00214496"/>
    <w:rsid w:val="00224341"/>
    <w:rsid w:val="0024400E"/>
    <w:rsid w:val="00250F9A"/>
    <w:rsid w:val="00255345"/>
    <w:rsid w:val="002561A1"/>
    <w:rsid w:val="00257B94"/>
    <w:rsid w:val="002704DD"/>
    <w:rsid w:val="00294427"/>
    <w:rsid w:val="0029755E"/>
    <w:rsid w:val="002A0F03"/>
    <w:rsid w:val="002A7E6C"/>
    <w:rsid w:val="002B0805"/>
    <w:rsid w:val="002C536B"/>
    <w:rsid w:val="002E272B"/>
    <w:rsid w:val="002E346F"/>
    <w:rsid w:val="002E4A82"/>
    <w:rsid w:val="002F14CA"/>
    <w:rsid w:val="002F3B5F"/>
    <w:rsid w:val="00312300"/>
    <w:rsid w:val="0032192F"/>
    <w:rsid w:val="00330544"/>
    <w:rsid w:val="0034000B"/>
    <w:rsid w:val="00346B4E"/>
    <w:rsid w:val="00350862"/>
    <w:rsid w:val="0035345A"/>
    <w:rsid w:val="003635BF"/>
    <w:rsid w:val="00364D37"/>
    <w:rsid w:val="00371CED"/>
    <w:rsid w:val="00372D87"/>
    <w:rsid w:val="00374D49"/>
    <w:rsid w:val="00375039"/>
    <w:rsid w:val="00381C7F"/>
    <w:rsid w:val="00381FDD"/>
    <w:rsid w:val="0038288F"/>
    <w:rsid w:val="00385805"/>
    <w:rsid w:val="0039019E"/>
    <w:rsid w:val="00390304"/>
    <w:rsid w:val="003A3031"/>
    <w:rsid w:val="003A3C9E"/>
    <w:rsid w:val="003C664A"/>
    <w:rsid w:val="003D3B3D"/>
    <w:rsid w:val="003F4485"/>
    <w:rsid w:val="004128A3"/>
    <w:rsid w:val="0042661E"/>
    <w:rsid w:val="00431102"/>
    <w:rsid w:val="00442771"/>
    <w:rsid w:val="004459C8"/>
    <w:rsid w:val="004460B6"/>
    <w:rsid w:val="00452BD7"/>
    <w:rsid w:val="00453282"/>
    <w:rsid w:val="00454D2D"/>
    <w:rsid w:val="0049023C"/>
    <w:rsid w:val="0049341D"/>
    <w:rsid w:val="00493B39"/>
    <w:rsid w:val="004A256D"/>
    <w:rsid w:val="004A378F"/>
    <w:rsid w:val="004B10F6"/>
    <w:rsid w:val="004B3DA3"/>
    <w:rsid w:val="004C2868"/>
    <w:rsid w:val="004C6130"/>
    <w:rsid w:val="004D15E8"/>
    <w:rsid w:val="004D38CC"/>
    <w:rsid w:val="004D6054"/>
    <w:rsid w:val="004E0F8E"/>
    <w:rsid w:val="004F70B6"/>
    <w:rsid w:val="0050154D"/>
    <w:rsid w:val="00524D87"/>
    <w:rsid w:val="0053048B"/>
    <w:rsid w:val="005412FF"/>
    <w:rsid w:val="00541514"/>
    <w:rsid w:val="0055154F"/>
    <w:rsid w:val="005554C9"/>
    <w:rsid w:val="005608C0"/>
    <w:rsid w:val="0056293F"/>
    <w:rsid w:val="005659C7"/>
    <w:rsid w:val="005664BE"/>
    <w:rsid w:val="00570C7C"/>
    <w:rsid w:val="00575EDF"/>
    <w:rsid w:val="00576128"/>
    <w:rsid w:val="005A7865"/>
    <w:rsid w:val="005C448F"/>
    <w:rsid w:val="005C5B15"/>
    <w:rsid w:val="005D32BD"/>
    <w:rsid w:val="005F173D"/>
    <w:rsid w:val="005F1FDB"/>
    <w:rsid w:val="005F3C8B"/>
    <w:rsid w:val="005F74DD"/>
    <w:rsid w:val="006257BC"/>
    <w:rsid w:val="00627FD1"/>
    <w:rsid w:val="00631CAC"/>
    <w:rsid w:val="00632124"/>
    <w:rsid w:val="00643159"/>
    <w:rsid w:val="006604D2"/>
    <w:rsid w:val="00672367"/>
    <w:rsid w:val="006A298E"/>
    <w:rsid w:val="006B1B97"/>
    <w:rsid w:val="006B66A4"/>
    <w:rsid w:val="006C0083"/>
    <w:rsid w:val="006F0B12"/>
    <w:rsid w:val="006F3B82"/>
    <w:rsid w:val="00705C5C"/>
    <w:rsid w:val="007101F6"/>
    <w:rsid w:val="007247B2"/>
    <w:rsid w:val="00734E47"/>
    <w:rsid w:val="0073611A"/>
    <w:rsid w:val="0074682C"/>
    <w:rsid w:val="00750F21"/>
    <w:rsid w:val="00755040"/>
    <w:rsid w:val="007644EF"/>
    <w:rsid w:val="007746A6"/>
    <w:rsid w:val="007822E9"/>
    <w:rsid w:val="007A171B"/>
    <w:rsid w:val="007A642F"/>
    <w:rsid w:val="007C2A1A"/>
    <w:rsid w:val="007C40BA"/>
    <w:rsid w:val="007C5BB5"/>
    <w:rsid w:val="007D6244"/>
    <w:rsid w:val="007E7CCF"/>
    <w:rsid w:val="00805CA4"/>
    <w:rsid w:val="008132E9"/>
    <w:rsid w:val="00824020"/>
    <w:rsid w:val="00840521"/>
    <w:rsid w:val="008466D1"/>
    <w:rsid w:val="00847749"/>
    <w:rsid w:val="0085395C"/>
    <w:rsid w:val="00860A97"/>
    <w:rsid w:val="00864D91"/>
    <w:rsid w:val="00866509"/>
    <w:rsid w:val="00877415"/>
    <w:rsid w:val="00882628"/>
    <w:rsid w:val="0088280D"/>
    <w:rsid w:val="00892A63"/>
    <w:rsid w:val="00894AF0"/>
    <w:rsid w:val="008A4A62"/>
    <w:rsid w:val="008B2210"/>
    <w:rsid w:val="008C7F16"/>
    <w:rsid w:val="008D6087"/>
    <w:rsid w:val="008D6BF9"/>
    <w:rsid w:val="008E0A11"/>
    <w:rsid w:val="008E1E43"/>
    <w:rsid w:val="008E7DE6"/>
    <w:rsid w:val="008F133F"/>
    <w:rsid w:val="008F15FE"/>
    <w:rsid w:val="008F2696"/>
    <w:rsid w:val="008F3784"/>
    <w:rsid w:val="0090508C"/>
    <w:rsid w:val="00911AEC"/>
    <w:rsid w:val="00916BB4"/>
    <w:rsid w:val="00926630"/>
    <w:rsid w:val="009348E6"/>
    <w:rsid w:val="0093631E"/>
    <w:rsid w:val="00943FAF"/>
    <w:rsid w:val="00946D6F"/>
    <w:rsid w:val="00953DE5"/>
    <w:rsid w:val="00954230"/>
    <w:rsid w:val="0097474B"/>
    <w:rsid w:val="009864C6"/>
    <w:rsid w:val="0099142F"/>
    <w:rsid w:val="009960AF"/>
    <w:rsid w:val="009A1A8F"/>
    <w:rsid w:val="009A67B4"/>
    <w:rsid w:val="009B41B9"/>
    <w:rsid w:val="009B4730"/>
    <w:rsid w:val="009C3A97"/>
    <w:rsid w:val="009D22E5"/>
    <w:rsid w:val="009D5E0F"/>
    <w:rsid w:val="009D61C0"/>
    <w:rsid w:val="009E7DB8"/>
    <w:rsid w:val="009F0817"/>
    <w:rsid w:val="00A015BA"/>
    <w:rsid w:val="00A01DD7"/>
    <w:rsid w:val="00A071EA"/>
    <w:rsid w:val="00A10473"/>
    <w:rsid w:val="00A2363C"/>
    <w:rsid w:val="00A25736"/>
    <w:rsid w:val="00A321CB"/>
    <w:rsid w:val="00A40D1C"/>
    <w:rsid w:val="00A5178E"/>
    <w:rsid w:val="00A70BC4"/>
    <w:rsid w:val="00A74250"/>
    <w:rsid w:val="00A76F1E"/>
    <w:rsid w:val="00A96F58"/>
    <w:rsid w:val="00AA114D"/>
    <w:rsid w:val="00AB7CF2"/>
    <w:rsid w:val="00AD2CDA"/>
    <w:rsid w:val="00AD2D81"/>
    <w:rsid w:val="00AD388B"/>
    <w:rsid w:val="00AD51DE"/>
    <w:rsid w:val="00AD5396"/>
    <w:rsid w:val="00AD5B96"/>
    <w:rsid w:val="00B02E05"/>
    <w:rsid w:val="00B11F25"/>
    <w:rsid w:val="00B139E2"/>
    <w:rsid w:val="00B34246"/>
    <w:rsid w:val="00B44441"/>
    <w:rsid w:val="00B45F96"/>
    <w:rsid w:val="00B50FC3"/>
    <w:rsid w:val="00B5500A"/>
    <w:rsid w:val="00B63497"/>
    <w:rsid w:val="00B637F1"/>
    <w:rsid w:val="00B65F81"/>
    <w:rsid w:val="00B70247"/>
    <w:rsid w:val="00B75F42"/>
    <w:rsid w:val="00B80371"/>
    <w:rsid w:val="00B843D9"/>
    <w:rsid w:val="00B9337F"/>
    <w:rsid w:val="00BC480B"/>
    <w:rsid w:val="00BD1A40"/>
    <w:rsid w:val="00BD2638"/>
    <w:rsid w:val="00BF3227"/>
    <w:rsid w:val="00BF3954"/>
    <w:rsid w:val="00BF762C"/>
    <w:rsid w:val="00C0506A"/>
    <w:rsid w:val="00C05503"/>
    <w:rsid w:val="00C1138D"/>
    <w:rsid w:val="00C16762"/>
    <w:rsid w:val="00C37E00"/>
    <w:rsid w:val="00C61935"/>
    <w:rsid w:val="00C72F27"/>
    <w:rsid w:val="00C94215"/>
    <w:rsid w:val="00C95E37"/>
    <w:rsid w:val="00C96487"/>
    <w:rsid w:val="00CA6FA9"/>
    <w:rsid w:val="00CB5AED"/>
    <w:rsid w:val="00CC07FC"/>
    <w:rsid w:val="00CC217E"/>
    <w:rsid w:val="00CD4D45"/>
    <w:rsid w:val="00CD6408"/>
    <w:rsid w:val="00CE1833"/>
    <w:rsid w:val="00CF11BF"/>
    <w:rsid w:val="00D02C27"/>
    <w:rsid w:val="00D04E42"/>
    <w:rsid w:val="00D07412"/>
    <w:rsid w:val="00D07936"/>
    <w:rsid w:val="00D07A66"/>
    <w:rsid w:val="00D11AFD"/>
    <w:rsid w:val="00D2114A"/>
    <w:rsid w:val="00D25190"/>
    <w:rsid w:val="00D44C5F"/>
    <w:rsid w:val="00D45B6D"/>
    <w:rsid w:val="00D47D1D"/>
    <w:rsid w:val="00D503AD"/>
    <w:rsid w:val="00D51071"/>
    <w:rsid w:val="00D5657C"/>
    <w:rsid w:val="00D5690B"/>
    <w:rsid w:val="00D6271F"/>
    <w:rsid w:val="00D67F11"/>
    <w:rsid w:val="00D707B5"/>
    <w:rsid w:val="00D713B7"/>
    <w:rsid w:val="00D7662D"/>
    <w:rsid w:val="00D769EB"/>
    <w:rsid w:val="00D83B04"/>
    <w:rsid w:val="00D83E13"/>
    <w:rsid w:val="00DA7B69"/>
    <w:rsid w:val="00DA7FDD"/>
    <w:rsid w:val="00DB0AFF"/>
    <w:rsid w:val="00DB4E13"/>
    <w:rsid w:val="00DB7CAD"/>
    <w:rsid w:val="00DC0B70"/>
    <w:rsid w:val="00DD35AD"/>
    <w:rsid w:val="00DD6EB4"/>
    <w:rsid w:val="00DE2D90"/>
    <w:rsid w:val="00DF0773"/>
    <w:rsid w:val="00DF2055"/>
    <w:rsid w:val="00DF3619"/>
    <w:rsid w:val="00E01179"/>
    <w:rsid w:val="00E055B3"/>
    <w:rsid w:val="00E06516"/>
    <w:rsid w:val="00E07D6A"/>
    <w:rsid w:val="00E12F0B"/>
    <w:rsid w:val="00E216C0"/>
    <w:rsid w:val="00E23B35"/>
    <w:rsid w:val="00E24A40"/>
    <w:rsid w:val="00E400AC"/>
    <w:rsid w:val="00E44337"/>
    <w:rsid w:val="00E474A6"/>
    <w:rsid w:val="00E50D74"/>
    <w:rsid w:val="00E513E5"/>
    <w:rsid w:val="00E54C5C"/>
    <w:rsid w:val="00E54F5A"/>
    <w:rsid w:val="00E61BCA"/>
    <w:rsid w:val="00E7378B"/>
    <w:rsid w:val="00E74AB5"/>
    <w:rsid w:val="00E85209"/>
    <w:rsid w:val="00E94E6F"/>
    <w:rsid w:val="00EC329E"/>
    <w:rsid w:val="00EC4B80"/>
    <w:rsid w:val="00EC66EE"/>
    <w:rsid w:val="00ED0350"/>
    <w:rsid w:val="00ED0596"/>
    <w:rsid w:val="00EF2607"/>
    <w:rsid w:val="00F00B66"/>
    <w:rsid w:val="00F024B2"/>
    <w:rsid w:val="00F12A21"/>
    <w:rsid w:val="00F246F8"/>
    <w:rsid w:val="00F274DA"/>
    <w:rsid w:val="00F321BC"/>
    <w:rsid w:val="00F40F32"/>
    <w:rsid w:val="00F425AF"/>
    <w:rsid w:val="00F4545E"/>
    <w:rsid w:val="00F554DD"/>
    <w:rsid w:val="00F662CC"/>
    <w:rsid w:val="00F74CE7"/>
    <w:rsid w:val="00F7571F"/>
    <w:rsid w:val="00F84971"/>
    <w:rsid w:val="00FA10AC"/>
    <w:rsid w:val="00FC6604"/>
    <w:rsid w:val="00FD29C0"/>
    <w:rsid w:val="00FF6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6999A90-C385-42AC-BCE7-FABF9767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1E"/>
    <w:rPr>
      <w:rFonts w:ascii="Arial" w:hAnsi="Arial"/>
      <w:sz w:val="24"/>
      <w:lang w:val="es-ES_tradnl" w:eastAsia="es-ES"/>
    </w:rPr>
  </w:style>
  <w:style w:type="paragraph" w:styleId="Ttulo1">
    <w:name w:val="heading 1"/>
    <w:basedOn w:val="Normal"/>
    <w:next w:val="Normal"/>
    <w:qFormat/>
    <w:pPr>
      <w:keepNext/>
      <w:ind w:left="1701"/>
      <w:jc w:val="center"/>
      <w:outlineLvl w:val="0"/>
    </w:pPr>
    <w:rPr>
      <w:b/>
      <w:lang w:val="es-MX"/>
    </w:rPr>
  </w:style>
  <w:style w:type="paragraph" w:styleId="Ttulo2">
    <w:name w:val="heading 2"/>
    <w:basedOn w:val="Normal"/>
    <w:next w:val="Normal"/>
    <w:qFormat/>
    <w:pPr>
      <w:keepNext/>
      <w:jc w:val="center"/>
      <w:outlineLvl w:val="1"/>
    </w:pPr>
    <w:rPr>
      <w:b/>
      <w:lang w:val="es-MX"/>
    </w:rPr>
  </w:style>
  <w:style w:type="paragraph" w:styleId="Ttulo3">
    <w:name w:val="heading 3"/>
    <w:basedOn w:val="Normal"/>
    <w:next w:val="Normal"/>
    <w:qFormat/>
    <w:pPr>
      <w:keepNext/>
      <w:jc w:val="center"/>
      <w:outlineLvl w:val="2"/>
    </w:pPr>
    <w:rPr>
      <w:lang w:val="es-MX"/>
    </w:rPr>
  </w:style>
  <w:style w:type="paragraph" w:styleId="Ttulo4">
    <w:name w:val="heading 4"/>
    <w:basedOn w:val="Normal"/>
    <w:next w:val="Normal"/>
    <w:qFormat/>
    <w:pPr>
      <w:keepNext/>
      <w:tabs>
        <w:tab w:val="left" w:pos="2268"/>
      </w:tabs>
      <w:ind w:left="2835" w:hanging="2552"/>
      <w:jc w:val="both"/>
      <w:outlineLvl w:val="3"/>
    </w:pPr>
    <w:rPr>
      <w:lang w:val="es-MX"/>
    </w:rPr>
  </w:style>
  <w:style w:type="paragraph" w:styleId="Ttulo5">
    <w:name w:val="heading 5"/>
    <w:basedOn w:val="Normal"/>
    <w:next w:val="Normal"/>
    <w:qFormat/>
    <w:pPr>
      <w:keepNext/>
      <w:tabs>
        <w:tab w:val="left" w:pos="2694"/>
      </w:tabs>
      <w:ind w:left="3402" w:hanging="3402"/>
      <w:jc w:val="both"/>
      <w:outlineLvl w:val="4"/>
    </w:pPr>
    <w:rPr>
      <w:b/>
    </w:rPr>
  </w:style>
  <w:style w:type="paragraph" w:styleId="Ttulo6">
    <w:name w:val="heading 6"/>
    <w:basedOn w:val="Normal"/>
    <w:next w:val="Normal"/>
    <w:qFormat/>
    <w:pPr>
      <w:keepNext/>
      <w:outlineLvl w:val="5"/>
    </w:pPr>
  </w:style>
  <w:style w:type="paragraph" w:styleId="Ttulo7">
    <w:name w:val="heading 7"/>
    <w:basedOn w:val="Normal"/>
    <w:next w:val="Normal"/>
    <w:qFormat/>
    <w:pPr>
      <w:keepNext/>
      <w:jc w:val="center"/>
      <w:outlineLvl w:val="6"/>
    </w:pPr>
    <w:rPr>
      <w:lang w:val="es-MX"/>
    </w:rPr>
  </w:style>
  <w:style w:type="paragraph" w:styleId="Ttulo8">
    <w:name w:val="heading 8"/>
    <w:basedOn w:val="Normal"/>
    <w:next w:val="Normal"/>
    <w:qFormat/>
    <w:pPr>
      <w:keepNext/>
      <w:tabs>
        <w:tab w:val="left" w:pos="2835"/>
        <w:tab w:val="left" w:pos="3402"/>
        <w:tab w:val="right" w:pos="8927"/>
      </w:tabs>
      <w:ind w:right="128"/>
      <w:jc w:val="both"/>
      <w:outlineLvl w:val="7"/>
    </w:pPr>
  </w:style>
  <w:style w:type="paragraph" w:styleId="Ttulo9">
    <w:name w:val="heading 9"/>
    <w:basedOn w:val="Normal"/>
    <w:next w:val="Normal"/>
    <w:qFormat/>
    <w:pPr>
      <w:keepNext/>
      <w:jc w:val="both"/>
      <w:outlineLvl w:val="8"/>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pPr>
      <w:jc w:val="both"/>
    </w:pPr>
    <w:rPr>
      <w:lang w:val="es-MX"/>
    </w:rPr>
  </w:style>
  <w:style w:type="paragraph" w:styleId="Textodebloque">
    <w:name w:val="Block Text"/>
    <w:basedOn w:val="Normal"/>
    <w:semiHidden/>
    <w:pPr>
      <w:ind w:left="1701" w:right="1701"/>
      <w:jc w:val="center"/>
    </w:pPr>
    <w:rPr>
      <w:lang w:val="es-MX"/>
    </w:rPr>
  </w:style>
  <w:style w:type="paragraph" w:styleId="Textoindependiente2">
    <w:name w:val="Body Text 2"/>
    <w:basedOn w:val="Normal"/>
    <w:semiHidden/>
    <w:pPr>
      <w:jc w:val="both"/>
    </w:pPr>
  </w:style>
  <w:style w:type="paragraph" w:styleId="Textoindependiente3">
    <w:name w:val="Body Text 3"/>
    <w:basedOn w:val="Normal"/>
    <w:pPr>
      <w:tabs>
        <w:tab w:val="right" w:pos="8927"/>
      </w:tabs>
      <w:ind w:right="128"/>
      <w:jc w:val="both"/>
    </w:pPr>
    <w:rPr>
      <w:sz w:val="25"/>
      <w:lang w:val="es-MX"/>
    </w:rPr>
  </w:style>
  <w:style w:type="paragraph" w:styleId="NormalWeb">
    <w:name w:val="Normal (Web)"/>
    <w:basedOn w:val="Normal"/>
    <w:semiHidden/>
    <w:pPr>
      <w:spacing w:before="100" w:after="100"/>
    </w:pPr>
    <w:rPr>
      <w:rFonts w:ascii="Times New Roman" w:hAnsi="Times New Roman"/>
      <w:lang w:val="es-ES"/>
    </w:rPr>
  </w:style>
  <w:style w:type="paragraph" w:styleId="Sangra2detindependiente">
    <w:name w:val="Body Text Indent 2"/>
    <w:basedOn w:val="Normal"/>
    <w:semiHidden/>
    <w:pPr>
      <w:ind w:left="567"/>
      <w:jc w:val="both"/>
    </w:pPr>
    <w:rPr>
      <w:rFonts w:ascii="Verdana" w:hAnsi="Verdana"/>
      <w:bCs/>
      <w:iCs/>
      <w:sz w:val="20"/>
      <w:lang w:val="es-MX"/>
    </w:rPr>
  </w:style>
  <w:style w:type="paragraph" w:styleId="Sangradetextonormal">
    <w:name w:val="Body Text Indent"/>
    <w:basedOn w:val="Normal"/>
    <w:semiHidden/>
    <w:pPr>
      <w:ind w:left="360"/>
      <w:jc w:val="both"/>
    </w:pPr>
    <w:rPr>
      <w:rFonts w:ascii="Verdana" w:hAnsi="Verdana"/>
      <w:iCs/>
      <w:lang w:val="es-MX"/>
    </w:rPr>
  </w:style>
  <w:style w:type="paragraph" w:customStyle="1" w:styleId="Ttulo">
    <w:name w:val="Título"/>
    <w:basedOn w:val="Normal"/>
    <w:qFormat/>
    <w:pPr>
      <w:jc w:val="center"/>
    </w:pPr>
    <w:rPr>
      <w:rFonts w:ascii="Verdana" w:hAnsi="Verdana"/>
      <w:b/>
      <w:bCs/>
      <w:sz w:val="22"/>
      <w:lang w:val="es-ES"/>
    </w:rPr>
  </w:style>
  <w:style w:type="paragraph" w:styleId="Sangra3detindependiente">
    <w:name w:val="Body Text Indent 3"/>
    <w:basedOn w:val="Normal"/>
    <w:semiHidden/>
    <w:pPr>
      <w:tabs>
        <w:tab w:val="left" w:pos="567"/>
      </w:tabs>
      <w:ind w:left="510" w:hanging="510"/>
      <w:jc w:val="both"/>
    </w:pPr>
    <w:rPr>
      <w:lang w:val="es-MX"/>
    </w:rPr>
  </w:style>
  <w:style w:type="character" w:customStyle="1" w:styleId="EncabezadoCar">
    <w:name w:val="Encabezado Car"/>
    <w:link w:val="Encabezado"/>
    <w:rsid w:val="00E24A40"/>
    <w:rPr>
      <w:rFonts w:ascii="Arial" w:hAnsi="Arial"/>
      <w:sz w:val="24"/>
      <w:lang w:val="es-ES_tradnl" w:eastAsia="es-ES" w:bidi="ar-SA"/>
    </w:rPr>
  </w:style>
  <w:style w:type="character" w:styleId="Hipervnculo">
    <w:name w:val="Hyperlink"/>
    <w:rsid w:val="00120230"/>
    <w:rPr>
      <w:color w:val="0000FF"/>
      <w:u w:val="single"/>
    </w:rPr>
  </w:style>
  <w:style w:type="paragraph" w:styleId="Mapadeldocumento">
    <w:name w:val="Document Map"/>
    <w:basedOn w:val="Normal"/>
    <w:semiHidden/>
    <w:rsid w:val="00B63497"/>
    <w:pPr>
      <w:shd w:val="clear" w:color="auto" w:fill="000080"/>
    </w:pPr>
    <w:rPr>
      <w:rFonts w:ascii="Tahoma" w:hAnsi="Tahoma" w:cs="Tahoma"/>
      <w:sz w:val="20"/>
    </w:rPr>
  </w:style>
  <w:style w:type="paragraph" w:customStyle="1" w:styleId="xmsonormal">
    <w:name w:val="x_msonormal"/>
    <w:basedOn w:val="Normal"/>
    <w:rsid w:val="00ED0350"/>
    <w:pPr>
      <w:spacing w:before="100" w:beforeAutospacing="1" w:after="100" w:afterAutospacing="1"/>
    </w:pPr>
    <w:rPr>
      <w:rFonts w:ascii="Times New Roman" w:hAnsi="Times New Roman"/>
      <w:szCs w:val="24"/>
      <w:lang w:val="es-ES"/>
    </w:rPr>
  </w:style>
  <w:style w:type="paragraph" w:styleId="Prrafodelista">
    <w:name w:val="List Paragraph"/>
    <w:basedOn w:val="Normal"/>
    <w:uiPriority w:val="34"/>
    <w:qFormat/>
    <w:rsid w:val="00ED0350"/>
    <w:pPr>
      <w:ind w:left="708"/>
    </w:pPr>
    <w:rPr>
      <w:rFonts w:ascii="Times New Roman" w:hAnsi="Times New Roman"/>
      <w:szCs w:val="24"/>
      <w:lang w:val="es-ES"/>
    </w:rPr>
  </w:style>
  <w:style w:type="paragraph" w:styleId="Textodeglobo">
    <w:name w:val="Balloon Text"/>
    <w:basedOn w:val="Normal"/>
    <w:link w:val="TextodegloboCar"/>
    <w:uiPriority w:val="99"/>
    <w:semiHidden/>
    <w:unhideWhenUsed/>
    <w:rsid w:val="00D51071"/>
    <w:rPr>
      <w:rFonts w:ascii="Tahoma" w:hAnsi="Tahoma"/>
      <w:sz w:val="16"/>
      <w:szCs w:val="16"/>
    </w:rPr>
  </w:style>
  <w:style w:type="character" w:customStyle="1" w:styleId="TextodegloboCar">
    <w:name w:val="Texto de globo Car"/>
    <w:link w:val="Textodeglobo"/>
    <w:uiPriority w:val="99"/>
    <w:semiHidden/>
    <w:rsid w:val="00D51071"/>
    <w:rPr>
      <w:rFonts w:ascii="Tahoma" w:hAnsi="Tahoma" w:cs="Tahoma"/>
      <w:sz w:val="16"/>
      <w:szCs w:val="16"/>
      <w:lang w:val="es-ES_tradnl" w:eastAsia="es-ES"/>
    </w:rPr>
  </w:style>
  <w:style w:type="table" w:styleId="Tablaconcuadrcula">
    <w:name w:val="Table Grid"/>
    <w:basedOn w:val="Tablanormal"/>
    <w:uiPriority w:val="59"/>
    <w:unhideWhenUsed/>
    <w:rsid w:val="002A7E6C"/>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2">
    <w:name w:val="Sin espaciado2"/>
    <w:rsid w:val="0039019E"/>
    <w:pPr>
      <w:widowControl w:val="0"/>
      <w:suppressAutoHyphens/>
      <w:spacing w:after="200" w:line="276" w:lineRule="auto"/>
      <w:textAlignment w:val="baseline"/>
    </w:pPr>
    <w:rPr>
      <w:rFonts w:ascii="Calibri" w:eastAsia="Lucida Sans Unicode" w:hAnsi="Calibri" w:cs="Tahoma"/>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http://www.presidencia.gov.co/webpresi/patrio/escudo.gi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para%20Resolu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e9388c0-b1e2-40ea-b6a8-c51c7913cbd2">H7EN5MXTHQNV-662-1144</_dlc_DocId>
    <_dlc_DocIdUrl xmlns="ae9388c0-b1e2-40ea-b6a8-c51c7913cbd2">
      <Url>https://www.mincultura.gov.co/prensa/noticias/_layouts/15/DocIdRedir.aspx?ID=H7EN5MXTHQNV-662-1144</Url>
      <Description>H7EN5MXTHQNV-662-1144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95C4F-53BD-48B5-9852-0F8410BFFAEF}"/>
</file>

<file path=customXml/itemProps2.xml><?xml version="1.0" encoding="utf-8"?>
<ds:datastoreItem xmlns:ds="http://schemas.openxmlformats.org/officeDocument/2006/customXml" ds:itemID="{2FBB42E8-9F59-4195-AFDF-E22BF491C187}"/>
</file>

<file path=customXml/itemProps3.xml><?xml version="1.0" encoding="utf-8"?>
<ds:datastoreItem xmlns:ds="http://schemas.openxmlformats.org/officeDocument/2006/customXml" ds:itemID="{73415E7B-FFC8-4FFC-8042-AF9111FC3E0A}"/>
</file>

<file path=customXml/itemProps4.xml><?xml version="1.0" encoding="utf-8"?>
<ds:datastoreItem xmlns:ds="http://schemas.openxmlformats.org/officeDocument/2006/customXml" ds:itemID="{E41A726B-C8B8-45A9-8236-2C2B092C44AD}"/>
</file>

<file path=docProps/app.xml><?xml version="1.0" encoding="utf-8"?>
<Properties xmlns="http://schemas.openxmlformats.org/officeDocument/2006/extended-properties" xmlns:vt="http://schemas.openxmlformats.org/officeDocument/2006/docPropsVTypes">
  <Template>Plantilla para Resolución</Template>
  <TotalTime>56</TotalTime>
  <Pages>4</Pages>
  <Words>1938</Words>
  <Characters>10661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Dell Computer Corporation</Company>
  <LinksUpToDate>false</LinksUpToDate>
  <CharactersWithSpaces>12574</CharactersWithSpaces>
  <SharedDoc>false</SharedDoc>
  <HLinks>
    <vt:vector size="12" baseType="variant">
      <vt:variant>
        <vt:i4>5963856</vt:i4>
      </vt:variant>
      <vt:variant>
        <vt:i4>0</vt:i4>
      </vt:variant>
      <vt:variant>
        <vt:i4>0</vt:i4>
      </vt:variant>
      <vt:variant>
        <vt:i4>5</vt:i4>
      </vt:variant>
      <vt:variant>
        <vt:lpwstr>http://www.mincultura.gov.co/</vt:lpwstr>
      </vt:variant>
      <vt:variant>
        <vt:lpwstr/>
      </vt:variant>
      <vt:variant>
        <vt:i4>6160464</vt:i4>
      </vt:variant>
      <vt:variant>
        <vt:i4>-1</vt:i4>
      </vt:variant>
      <vt:variant>
        <vt:i4>2054</vt:i4>
      </vt:variant>
      <vt:variant>
        <vt:i4>1</vt:i4>
      </vt:variant>
      <vt:variant>
        <vt:lpwstr>http://www.presidencia.gov.co/webpresi/patrio/escudo.gif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dmarin</dc:creator>
  <cp:keywords/>
  <cp:lastModifiedBy>Maria Alejandra Caicedo</cp:lastModifiedBy>
  <cp:revision>4</cp:revision>
  <cp:lastPrinted>2017-04-07T19:28:00Z</cp:lastPrinted>
  <dcterms:created xsi:type="dcterms:W3CDTF">2017-04-21T15:15:00Z</dcterms:created>
  <dcterms:modified xsi:type="dcterms:W3CDTF">2017-04-21T16:12:00Z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4327e3f0-44b7-4823-afa7-6a7fd8e2c3aa</vt:lpwstr>
  </property>
  <property fmtid="{D5CDD505-2E9C-101B-9397-08002B2CF9AE}" pid="3" name="ContentTypeId">
    <vt:lpwstr>0x010100FDA341872286834AB0D54B93028EBD96</vt:lpwstr>
  </property>
</Properties>
</file>