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thickThinLargeGap" w:sz="6" w:space="0" w:color="C0C0C0"/>
          <w:left w:val="thickThinLargeGap" w:sz="6" w:space="0" w:color="C0C0C0"/>
          <w:bottom w:val="thinThickLargeGap" w:sz="6" w:space="0" w:color="C0C0C0"/>
          <w:right w:val="thinThickLargeGap" w:sz="6" w:space="0" w:color="C0C0C0"/>
          <w:insideH w:val="single" w:sz="6" w:space="0" w:color="auto"/>
          <w:insideV w:val="single" w:sz="6" w:space="0" w:color="auto"/>
        </w:tblBorders>
        <w:tblCellMar>
          <w:left w:w="70" w:type="dxa"/>
          <w:right w:w="70" w:type="dxa"/>
        </w:tblCellMar>
        <w:tblLook w:val="01E0" w:firstRow="1" w:lastRow="1" w:firstColumn="1" w:lastColumn="1" w:noHBand="0" w:noVBand="0"/>
      </w:tblPr>
      <w:tblGrid>
        <w:gridCol w:w="2430"/>
        <w:gridCol w:w="7482"/>
      </w:tblGrid>
      <w:tr w:rsidR="002723AE" w:rsidRPr="00005E76" w:rsidTr="002723AE">
        <w:trPr>
          <w:cantSplit/>
          <w:trHeight w:val="1770"/>
          <w:tblHeader/>
        </w:trPr>
        <w:tc>
          <w:tcPr>
            <w:tcW w:w="1226" w:type="pct"/>
            <w:tcBorders>
              <w:top w:val="thickThinLargeGap" w:sz="6" w:space="0" w:color="C0C0C0"/>
            </w:tcBorders>
            <w:vAlign w:val="center"/>
          </w:tcPr>
          <w:p w:rsidR="002723AE" w:rsidRPr="006B2859" w:rsidRDefault="00746D1E" w:rsidP="002723AE">
            <w:pPr>
              <w:jc w:val="center"/>
            </w:pPr>
            <w:r>
              <w:rPr>
                <w:noProof/>
                <w:lang w:eastAsia="es-CO"/>
              </w:rPr>
              <w:pict w14:anchorId="3F7CF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0" o:spid="_x0000_i1025" type="#_x0000_t75" style="width:102pt;height:68.25pt;visibility:visible">
                  <v:imagedata r:id="rId7" o:title=""/>
                </v:shape>
              </w:pict>
            </w:r>
          </w:p>
        </w:tc>
        <w:tc>
          <w:tcPr>
            <w:tcW w:w="3774" w:type="pct"/>
            <w:tcBorders>
              <w:top w:val="thickThinLargeGap" w:sz="6" w:space="0" w:color="C0C0C0"/>
            </w:tcBorders>
            <w:vAlign w:val="center"/>
          </w:tcPr>
          <w:p w:rsidR="002723AE" w:rsidRDefault="002723AE" w:rsidP="002723AE">
            <w:pPr>
              <w:pStyle w:val="Encabezado"/>
              <w:jc w:val="center"/>
              <w:rPr>
                <w:rFonts w:ascii="Verdana" w:hAnsi="Verdana" w:cs="Arial"/>
                <w:b/>
                <w:sz w:val="20"/>
                <w:szCs w:val="20"/>
              </w:rPr>
            </w:pPr>
            <w:r w:rsidRPr="00005E76">
              <w:rPr>
                <w:rFonts w:ascii="Verdana" w:hAnsi="Verdana" w:cs="Arial"/>
                <w:b/>
                <w:sz w:val="20"/>
                <w:szCs w:val="20"/>
              </w:rPr>
              <w:t>MEMORIA JUSTIFICATIVA</w:t>
            </w:r>
            <w:r>
              <w:rPr>
                <w:rFonts w:ascii="Verdana" w:hAnsi="Verdana" w:cs="Arial"/>
                <w:b/>
                <w:sz w:val="20"/>
                <w:szCs w:val="20"/>
              </w:rPr>
              <w:t xml:space="preserve"> – EXPEDICIÓN NORMATIVA</w:t>
            </w:r>
          </w:p>
          <w:p w:rsidR="002723AE" w:rsidRPr="00005E76" w:rsidRDefault="002723AE" w:rsidP="002723AE">
            <w:pPr>
              <w:pStyle w:val="Encabezado"/>
              <w:jc w:val="center"/>
              <w:rPr>
                <w:rFonts w:ascii="Verdana" w:hAnsi="Verdana"/>
                <w:sz w:val="20"/>
                <w:szCs w:val="20"/>
              </w:rPr>
            </w:pPr>
            <w:r>
              <w:rPr>
                <w:rFonts w:ascii="Verdana" w:hAnsi="Verdana" w:cs="Arial"/>
                <w:b/>
                <w:sz w:val="20"/>
                <w:szCs w:val="20"/>
              </w:rPr>
              <w:t>Decreto Reglamentario n.°     de 2017</w:t>
            </w:r>
          </w:p>
        </w:tc>
      </w:tr>
    </w:tbl>
    <w:p w:rsidR="00354FEA" w:rsidRPr="00005E76" w:rsidRDefault="00354FEA" w:rsidP="00354FEA">
      <w:pPr>
        <w:tabs>
          <w:tab w:val="left" w:pos="8930"/>
        </w:tabs>
        <w:ind w:right="-1"/>
        <w:jc w:val="cente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3002"/>
        <w:gridCol w:w="2798"/>
      </w:tblGrid>
      <w:tr w:rsidR="00354FEA" w:rsidRPr="00005E76" w:rsidTr="00354FEA">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354FEA" w:rsidRPr="006F7417" w:rsidRDefault="00354FEA" w:rsidP="00655296">
            <w:pPr>
              <w:tabs>
                <w:tab w:val="left" w:pos="8930"/>
              </w:tabs>
              <w:ind w:right="-1"/>
              <w:jc w:val="both"/>
              <w:rPr>
                <w:rFonts w:ascii="Verdana" w:hAnsi="Verdana" w:cs="Arial"/>
                <w:b/>
                <w:sz w:val="20"/>
                <w:szCs w:val="20"/>
                <w:lang w:val="es-ES"/>
              </w:rPr>
            </w:pPr>
            <w:r w:rsidRPr="00005E76">
              <w:rPr>
                <w:rFonts w:ascii="Verdana" w:hAnsi="Verdana" w:cs="Arial"/>
                <w:b/>
                <w:sz w:val="20"/>
                <w:szCs w:val="20"/>
              </w:rPr>
              <w:t>Tipo de proyecto normativo:</w:t>
            </w:r>
          </w:p>
        </w:tc>
        <w:tc>
          <w:tcPr>
            <w:tcW w:w="3002" w:type="dxa"/>
            <w:tcBorders>
              <w:top w:val="single" w:sz="4" w:space="0" w:color="auto"/>
              <w:left w:val="single" w:sz="4" w:space="0" w:color="auto"/>
              <w:bottom w:val="single" w:sz="4" w:space="0" w:color="auto"/>
              <w:right w:val="single" w:sz="4" w:space="0" w:color="auto"/>
            </w:tcBorders>
            <w:hideMark/>
          </w:tcPr>
          <w:p w:rsidR="00354FEA" w:rsidRPr="00005E76" w:rsidRDefault="00354FEA" w:rsidP="00655296">
            <w:pPr>
              <w:tabs>
                <w:tab w:val="left" w:pos="8930"/>
              </w:tabs>
              <w:ind w:right="-1"/>
              <w:jc w:val="both"/>
              <w:rPr>
                <w:rFonts w:ascii="Verdana" w:hAnsi="Verdana" w:cs="Arial"/>
                <w:b/>
                <w:sz w:val="20"/>
                <w:szCs w:val="20"/>
                <w:lang w:val="es-ES"/>
              </w:rPr>
            </w:pPr>
            <w:r w:rsidRPr="00005E76">
              <w:rPr>
                <w:rFonts w:ascii="Verdana" w:hAnsi="Verdana" w:cs="Arial"/>
                <w:b/>
                <w:sz w:val="20"/>
                <w:szCs w:val="20"/>
              </w:rPr>
              <w:t>Decreto</w:t>
            </w:r>
          </w:p>
        </w:tc>
        <w:tc>
          <w:tcPr>
            <w:tcW w:w="2798" w:type="dxa"/>
            <w:tcBorders>
              <w:top w:val="single" w:sz="4" w:space="0" w:color="auto"/>
              <w:left w:val="single" w:sz="4" w:space="0" w:color="auto"/>
              <w:bottom w:val="single" w:sz="4" w:space="0" w:color="auto"/>
              <w:right w:val="single" w:sz="4" w:space="0" w:color="auto"/>
            </w:tcBorders>
            <w:vAlign w:val="center"/>
          </w:tcPr>
          <w:p w:rsidR="00354FEA" w:rsidRPr="00005E76" w:rsidRDefault="00354FEA" w:rsidP="00655296">
            <w:pPr>
              <w:tabs>
                <w:tab w:val="left" w:pos="8930"/>
              </w:tabs>
              <w:ind w:right="-1"/>
              <w:jc w:val="center"/>
              <w:rPr>
                <w:rFonts w:ascii="Verdana" w:hAnsi="Verdana" w:cs="Arial"/>
                <w:b/>
                <w:sz w:val="20"/>
                <w:szCs w:val="20"/>
                <w:lang w:val="es-ES"/>
              </w:rPr>
            </w:pPr>
            <w:r w:rsidRPr="00005E76">
              <w:rPr>
                <w:rFonts w:ascii="Verdana" w:hAnsi="Verdana" w:cs="Arial"/>
                <w:b/>
                <w:sz w:val="20"/>
                <w:szCs w:val="20"/>
                <w:lang w:val="es-ES"/>
              </w:rPr>
              <w:t>X</w:t>
            </w:r>
          </w:p>
        </w:tc>
      </w:tr>
      <w:tr w:rsidR="00354FEA" w:rsidRPr="00005E76" w:rsidTr="00354FEA">
        <w:tc>
          <w:tcPr>
            <w:tcW w:w="0" w:type="auto"/>
            <w:vMerge/>
            <w:tcBorders>
              <w:top w:val="single" w:sz="4" w:space="0" w:color="auto"/>
              <w:left w:val="single" w:sz="4" w:space="0" w:color="auto"/>
              <w:bottom w:val="single" w:sz="4" w:space="0" w:color="auto"/>
              <w:right w:val="single" w:sz="4" w:space="0" w:color="auto"/>
            </w:tcBorders>
            <w:vAlign w:val="center"/>
            <w:hideMark/>
          </w:tcPr>
          <w:p w:rsidR="00354FEA" w:rsidRPr="00005E76" w:rsidRDefault="00354FEA" w:rsidP="00655296">
            <w:pPr>
              <w:rPr>
                <w:rFonts w:ascii="Verdana" w:hAnsi="Verdana" w:cs="Arial"/>
                <w:sz w:val="20"/>
                <w:szCs w:val="20"/>
                <w:lang w:val="es-ES"/>
              </w:rPr>
            </w:pPr>
          </w:p>
        </w:tc>
        <w:tc>
          <w:tcPr>
            <w:tcW w:w="3002" w:type="dxa"/>
            <w:tcBorders>
              <w:top w:val="single" w:sz="4" w:space="0" w:color="auto"/>
              <w:left w:val="single" w:sz="4" w:space="0" w:color="auto"/>
              <w:bottom w:val="single" w:sz="4" w:space="0" w:color="auto"/>
              <w:right w:val="single" w:sz="4" w:space="0" w:color="auto"/>
            </w:tcBorders>
            <w:hideMark/>
          </w:tcPr>
          <w:p w:rsidR="00354FEA" w:rsidRPr="00005E76" w:rsidRDefault="00354FEA" w:rsidP="00655296">
            <w:pPr>
              <w:tabs>
                <w:tab w:val="left" w:pos="8930"/>
              </w:tabs>
              <w:ind w:right="-1"/>
              <w:jc w:val="both"/>
              <w:rPr>
                <w:rFonts w:ascii="Verdana" w:hAnsi="Verdana" w:cs="Arial"/>
                <w:b/>
                <w:sz w:val="20"/>
                <w:szCs w:val="20"/>
                <w:lang w:val="es-ES"/>
              </w:rPr>
            </w:pPr>
            <w:r w:rsidRPr="00005E76">
              <w:rPr>
                <w:rFonts w:ascii="Verdana" w:hAnsi="Verdana" w:cs="Arial"/>
                <w:b/>
                <w:sz w:val="20"/>
                <w:szCs w:val="20"/>
              </w:rPr>
              <w:t>Resolución</w:t>
            </w:r>
          </w:p>
        </w:tc>
        <w:tc>
          <w:tcPr>
            <w:tcW w:w="2798" w:type="dxa"/>
            <w:tcBorders>
              <w:top w:val="single" w:sz="4" w:space="0" w:color="auto"/>
              <w:left w:val="single" w:sz="4" w:space="0" w:color="auto"/>
              <w:bottom w:val="single" w:sz="4" w:space="0" w:color="auto"/>
              <w:right w:val="single" w:sz="4" w:space="0" w:color="auto"/>
            </w:tcBorders>
            <w:vAlign w:val="center"/>
          </w:tcPr>
          <w:p w:rsidR="00354FEA" w:rsidRPr="00005E76" w:rsidRDefault="00354FEA" w:rsidP="00655296">
            <w:pPr>
              <w:tabs>
                <w:tab w:val="left" w:pos="8930"/>
              </w:tabs>
              <w:ind w:right="-1"/>
              <w:jc w:val="center"/>
              <w:rPr>
                <w:rFonts w:ascii="Verdana" w:hAnsi="Verdana" w:cs="Arial"/>
                <w:b/>
                <w:sz w:val="20"/>
                <w:szCs w:val="20"/>
                <w:lang w:val="es-ES"/>
              </w:rPr>
            </w:pPr>
          </w:p>
        </w:tc>
      </w:tr>
      <w:tr w:rsidR="00354FEA" w:rsidRPr="00005E76" w:rsidTr="00354FEA">
        <w:tc>
          <w:tcPr>
            <w:tcW w:w="0" w:type="auto"/>
            <w:vMerge/>
            <w:tcBorders>
              <w:top w:val="single" w:sz="4" w:space="0" w:color="auto"/>
              <w:left w:val="single" w:sz="4" w:space="0" w:color="auto"/>
              <w:bottom w:val="single" w:sz="4" w:space="0" w:color="auto"/>
              <w:right w:val="single" w:sz="4" w:space="0" w:color="auto"/>
            </w:tcBorders>
            <w:vAlign w:val="center"/>
            <w:hideMark/>
          </w:tcPr>
          <w:p w:rsidR="00354FEA" w:rsidRPr="00005E76" w:rsidRDefault="00354FEA" w:rsidP="00655296">
            <w:pPr>
              <w:rPr>
                <w:rFonts w:ascii="Verdana" w:hAnsi="Verdana" w:cs="Arial"/>
                <w:sz w:val="20"/>
                <w:szCs w:val="20"/>
                <w:lang w:val="es-ES"/>
              </w:rPr>
            </w:pPr>
          </w:p>
        </w:tc>
        <w:tc>
          <w:tcPr>
            <w:tcW w:w="3002" w:type="dxa"/>
            <w:tcBorders>
              <w:top w:val="single" w:sz="4" w:space="0" w:color="auto"/>
              <w:left w:val="single" w:sz="4" w:space="0" w:color="auto"/>
              <w:bottom w:val="single" w:sz="4" w:space="0" w:color="auto"/>
              <w:right w:val="single" w:sz="4" w:space="0" w:color="auto"/>
            </w:tcBorders>
            <w:hideMark/>
          </w:tcPr>
          <w:p w:rsidR="00354FEA" w:rsidRPr="00005E76" w:rsidRDefault="00354FEA" w:rsidP="00655296">
            <w:pPr>
              <w:tabs>
                <w:tab w:val="left" w:pos="8930"/>
              </w:tabs>
              <w:ind w:right="-1"/>
              <w:jc w:val="both"/>
              <w:rPr>
                <w:rFonts w:ascii="Verdana" w:hAnsi="Verdana" w:cs="Arial"/>
                <w:b/>
                <w:sz w:val="20"/>
                <w:szCs w:val="20"/>
                <w:lang w:val="es-ES"/>
              </w:rPr>
            </w:pPr>
            <w:r w:rsidRPr="00005E76">
              <w:rPr>
                <w:rFonts w:ascii="Verdana" w:hAnsi="Verdana" w:cs="Arial"/>
                <w:b/>
                <w:sz w:val="20"/>
                <w:szCs w:val="20"/>
              </w:rPr>
              <w:t>Otro - ¿Cuál?</w:t>
            </w:r>
          </w:p>
        </w:tc>
        <w:tc>
          <w:tcPr>
            <w:tcW w:w="2798" w:type="dxa"/>
            <w:tcBorders>
              <w:top w:val="single" w:sz="4" w:space="0" w:color="auto"/>
              <w:left w:val="single" w:sz="4" w:space="0" w:color="auto"/>
              <w:bottom w:val="single" w:sz="4" w:space="0" w:color="auto"/>
              <w:right w:val="single" w:sz="4" w:space="0" w:color="auto"/>
            </w:tcBorders>
            <w:vAlign w:val="center"/>
          </w:tcPr>
          <w:p w:rsidR="00354FEA" w:rsidRPr="00005E76" w:rsidRDefault="00354FEA" w:rsidP="00655296">
            <w:pPr>
              <w:tabs>
                <w:tab w:val="left" w:pos="8930"/>
              </w:tabs>
              <w:ind w:right="-1"/>
              <w:jc w:val="center"/>
              <w:rPr>
                <w:rFonts w:ascii="Verdana" w:hAnsi="Verdana" w:cs="Arial"/>
                <w:b/>
                <w:sz w:val="20"/>
                <w:szCs w:val="20"/>
                <w:lang w:val="es-ES"/>
              </w:rPr>
            </w:pPr>
          </w:p>
        </w:tc>
      </w:tr>
      <w:tr w:rsidR="00354FEA" w:rsidRPr="00005E76" w:rsidTr="00354FEA">
        <w:tc>
          <w:tcPr>
            <w:tcW w:w="9962" w:type="dxa"/>
            <w:gridSpan w:val="3"/>
            <w:tcBorders>
              <w:top w:val="single" w:sz="4" w:space="0" w:color="auto"/>
              <w:left w:val="single" w:sz="4" w:space="0" w:color="auto"/>
              <w:bottom w:val="single" w:sz="4" w:space="0" w:color="auto"/>
              <w:right w:val="single" w:sz="4" w:space="0" w:color="auto"/>
            </w:tcBorders>
            <w:hideMark/>
          </w:tcPr>
          <w:p w:rsidR="00354FEA" w:rsidRPr="00005E76" w:rsidRDefault="00354FEA" w:rsidP="00354FEA">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9746"/>
            </w:tblGrid>
            <w:tr w:rsidR="0038132E" w:rsidRPr="00005E76">
              <w:trPr>
                <w:trHeight w:val="339"/>
              </w:trPr>
              <w:tc>
                <w:tcPr>
                  <w:tcW w:w="0" w:type="auto"/>
                </w:tcPr>
                <w:p w:rsidR="00354FEA" w:rsidRPr="00005E76" w:rsidRDefault="00354FEA" w:rsidP="00354FEA">
                  <w:pPr>
                    <w:pStyle w:val="Default"/>
                    <w:jc w:val="both"/>
                    <w:rPr>
                      <w:i/>
                      <w:iCs/>
                      <w:sz w:val="20"/>
                      <w:szCs w:val="20"/>
                    </w:rPr>
                  </w:pPr>
                  <w:r w:rsidRPr="00005E76">
                    <w:rPr>
                      <w:i/>
                      <w:sz w:val="20"/>
                      <w:szCs w:val="20"/>
                    </w:rPr>
                    <w:t>“</w:t>
                  </w:r>
                  <w:r w:rsidR="0038132E">
                    <w:rPr>
                      <w:i/>
                      <w:iCs/>
                      <w:sz w:val="20"/>
                      <w:szCs w:val="20"/>
                    </w:rPr>
                    <w:t>Por el cual se</w:t>
                  </w:r>
                  <w:r w:rsidR="00D62FF6">
                    <w:rPr>
                      <w:i/>
                      <w:iCs/>
                      <w:sz w:val="20"/>
                      <w:szCs w:val="20"/>
                    </w:rPr>
                    <w:t xml:space="preserve"> adiciona el Decreto 1080 de 2015 en lo relacionado con la </w:t>
                  </w:r>
                  <w:r w:rsidR="0038132E">
                    <w:rPr>
                      <w:i/>
                      <w:iCs/>
                      <w:sz w:val="20"/>
                      <w:szCs w:val="20"/>
                    </w:rPr>
                    <w:t>reglamenta</w:t>
                  </w:r>
                  <w:r w:rsidR="00D62FF6">
                    <w:rPr>
                      <w:i/>
                      <w:iCs/>
                      <w:sz w:val="20"/>
                      <w:szCs w:val="20"/>
                    </w:rPr>
                    <w:t>ción</w:t>
                  </w:r>
                  <w:r w:rsidR="0038132E">
                    <w:rPr>
                      <w:i/>
                      <w:iCs/>
                      <w:sz w:val="20"/>
                      <w:szCs w:val="20"/>
                    </w:rPr>
                    <w:t xml:space="preserve"> </w:t>
                  </w:r>
                  <w:r w:rsidR="00D62FF6">
                    <w:rPr>
                      <w:i/>
                      <w:iCs/>
                      <w:sz w:val="20"/>
                      <w:szCs w:val="20"/>
                    </w:rPr>
                    <w:t>d</w:t>
                  </w:r>
                  <w:r w:rsidR="0038132E">
                    <w:rPr>
                      <w:i/>
                      <w:iCs/>
                      <w:sz w:val="20"/>
                      <w:szCs w:val="20"/>
                    </w:rPr>
                    <w:t>el artículo 225 de la Ley 1753 de 2015, referente a la Promoción de las Artes Escénicas</w:t>
                  </w:r>
                  <w:r w:rsidRPr="00005E76">
                    <w:rPr>
                      <w:i/>
                      <w:iCs/>
                      <w:sz w:val="20"/>
                      <w:szCs w:val="20"/>
                    </w:rPr>
                    <w:t xml:space="preserve">”. </w:t>
                  </w:r>
                </w:p>
                <w:p w:rsidR="00354FEA" w:rsidRPr="00005E76" w:rsidRDefault="00354FEA" w:rsidP="00354FEA">
                  <w:pPr>
                    <w:pStyle w:val="Default"/>
                    <w:rPr>
                      <w:sz w:val="20"/>
                      <w:szCs w:val="20"/>
                    </w:rPr>
                  </w:pPr>
                </w:p>
              </w:tc>
            </w:tr>
          </w:tbl>
          <w:p w:rsidR="00354FEA" w:rsidRPr="00005E76" w:rsidRDefault="00354FEA" w:rsidP="00655296">
            <w:pPr>
              <w:jc w:val="both"/>
              <w:rPr>
                <w:rFonts w:ascii="Verdana" w:hAnsi="Verdana" w:cs="Arial"/>
                <w:sz w:val="20"/>
                <w:szCs w:val="20"/>
                <w:lang w:val="es-ES"/>
              </w:rPr>
            </w:pPr>
          </w:p>
        </w:tc>
      </w:tr>
    </w:tbl>
    <w:p w:rsidR="00354FEA" w:rsidRPr="00005E76" w:rsidRDefault="00354FEA" w:rsidP="00354FEA">
      <w:pPr>
        <w:jc w:val="both"/>
        <w:rPr>
          <w:rFonts w:ascii="Verdana" w:hAnsi="Verdana" w:cs="Arial"/>
          <w:b/>
          <w:sz w:val="20"/>
          <w:szCs w:val="20"/>
          <w:lang w:val="es-MX"/>
        </w:rPr>
      </w:pPr>
    </w:p>
    <w:p w:rsidR="00354FEA" w:rsidRPr="00005E76" w:rsidRDefault="00354FEA" w:rsidP="00695F5C">
      <w:pPr>
        <w:jc w:val="center"/>
        <w:rPr>
          <w:rFonts w:ascii="Verdana" w:hAnsi="Verdana" w:cs="Arial"/>
          <w:b/>
          <w:sz w:val="20"/>
          <w:szCs w:val="20"/>
          <w:lang w:val="es-MX"/>
        </w:rPr>
      </w:pPr>
      <w:r w:rsidRPr="00005E76">
        <w:rPr>
          <w:rFonts w:ascii="Verdana" w:hAnsi="Verdana" w:cs="Arial"/>
          <w:b/>
          <w:sz w:val="20"/>
          <w:szCs w:val="20"/>
          <w:lang w:val="es-MX"/>
        </w:rPr>
        <w:t>ESTUDIO DE IMPACTO Y MEMORIA JUSTIFICATIVA</w:t>
      </w:r>
      <w:r w:rsidRPr="00005E76">
        <w:rPr>
          <w:rStyle w:val="Refdenotaalpie"/>
          <w:rFonts w:ascii="Verdana" w:hAnsi="Verdana" w:cs="Arial"/>
          <w:b/>
          <w:sz w:val="20"/>
          <w:szCs w:val="20"/>
          <w:lang w:val="es-MX"/>
        </w:rPr>
        <w:footnoteReference w:id="1"/>
      </w:r>
    </w:p>
    <w:p w:rsidR="00354FEA" w:rsidRDefault="00354FEA" w:rsidP="00354FEA">
      <w:pPr>
        <w:jc w:val="both"/>
        <w:rPr>
          <w:rFonts w:ascii="Verdana" w:hAnsi="Verdana" w:cs="Arial"/>
          <w:sz w:val="20"/>
          <w:szCs w:val="20"/>
          <w:lang w:val="es-MX"/>
        </w:rPr>
      </w:pPr>
    </w:p>
    <w:p w:rsidR="00746D1E" w:rsidRPr="00005E76" w:rsidRDefault="00746D1E" w:rsidP="00354FEA">
      <w:pPr>
        <w:jc w:val="both"/>
        <w:rPr>
          <w:rFonts w:ascii="Verdana" w:hAnsi="Verdana" w:cs="Arial"/>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54FEA" w:rsidRPr="00005E76" w:rsidTr="00B615FD">
        <w:tc>
          <w:tcPr>
            <w:tcW w:w="9962" w:type="dxa"/>
            <w:shd w:val="clear" w:color="auto" w:fill="F2F2F2" w:themeFill="background1" w:themeFillShade="F2"/>
          </w:tcPr>
          <w:p w:rsidR="00354FEA" w:rsidRPr="00005E76" w:rsidRDefault="00354FEA" w:rsidP="002723EB">
            <w:pPr>
              <w:pStyle w:val="Prrafodelista1"/>
              <w:numPr>
                <w:ilvl w:val="0"/>
                <w:numId w:val="1"/>
              </w:numPr>
              <w:jc w:val="center"/>
              <w:rPr>
                <w:rFonts w:ascii="Verdana" w:hAnsi="Verdana" w:cs="Arial"/>
                <w:sz w:val="20"/>
                <w:szCs w:val="20"/>
              </w:rPr>
            </w:pPr>
            <w:r w:rsidRPr="00005E76">
              <w:rPr>
                <w:rFonts w:ascii="Verdana" w:hAnsi="Verdana" w:cs="Arial"/>
                <w:b/>
                <w:sz w:val="20"/>
                <w:szCs w:val="20"/>
              </w:rPr>
              <w:t>Antecedentes, razones de oportunidad y conveniencia que justifican su expedición</w:t>
            </w:r>
          </w:p>
        </w:tc>
      </w:tr>
      <w:tr w:rsidR="00354FEA" w:rsidRPr="00005E76" w:rsidTr="00B615FD">
        <w:trPr>
          <w:trHeight w:val="1974"/>
        </w:trPr>
        <w:tc>
          <w:tcPr>
            <w:tcW w:w="9962" w:type="dxa"/>
            <w:shd w:val="clear" w:color="auto" w:fill="auto"/>
          </w:tcPr>
          <w:p w:rsidR="00354FEA" w:rsidRPr="00005E76" w:rsidRDefault="00354FEA">
            <w:pPr>
              <w:rPr>
                <w:rFonts w:ascii="Verdana" w:hAnsi="Verdana"/>
                <w:sz w:val="20"/>
                <w:szCs w:val="20"/>
              </w:rPr>
            </w:pPr>
          </w:p>
          <w:tbl>
            <w:tblPr>
              <w:tblW w:w="0" w:type="auto"/>
              <w:tblBorders>
                <w:top w:val="nil"/>
                <w:left w:val="nil"/>
                <w:bottom w:val="nil"/>
                <w:right w:val="nil"/>
              </w:tblBorders>
              <w:tblLook w:val="0000" w:firstRow="0" w:lastRow="0" w:firstColumn="0" w:lastColumn="0" w:noHBand="0" w:noVBand="0"/>
            </w:tblPr>
            <w:tblGrid>
              <w:gridCol w:w="9746"/>
            </w:tblGrid>
            <w:tr w:rsidR="007A12BA" w:rsidRPr="00005E76" w:rsidTr="00ED4014">
              <w:trPr>
                <w:trHeight w:val="2267"/>
              </w:trPr>
              <w:tc>
                <w:tcPr>
                  <w:tcW w:w="0" w:type="auto"/>
                </w:tcPr>
                <w:p w:rsidR="00ED4014" w:rsidRDefault="007A12BA" w:rsidP="0038132E">
                  <w:pPr>
                    <w:pStyle w:val="Default"/>
                    <w:jc w:val="both"/>
                    <w:rPr>
                      <w:sz w:val="20"/>
                      <w:szCs w:val="20"/>
                    </w:rPr>
                  </w:pPr>
                  <w:r>
                    <w:rPr>
                      <w:sz w:val="20"/>
                      <w:szCs w:val="20"/>
                    </w:rPr>
                    <w:t xml:space="preserve">Las Bases del Plan Nacional de Desarrollo 2014-2018 se concentran en la estructuración de un círculo virtuoso para la formación de capital humano, del cual hace parte </w:t>
                  </w:r>
                  <w:r w:rsidR="00320F8D">
                    <w:rPr>
                      <w:sz w:val="20"/>
                      <w:szCs w:val="20"/>
                    </w:rPr>
                    <w:t>la cultura y el arte</w:t>
                  </w:r>
                  <w:r>
                    <w:rPr>
                      <w:sz w:val="20"/>
                      <w:szCs w:val="20"/>
                    </w:rPr>
                    <w:t xml:space="preserve"> debido a que estos son</w:t>
                  </w:r>
                  <w:r w:rsidR="00320F8D">
                    <w:rPr>
                      <w:sz w:val="20"/>
                      <w:szCs w:val="20"/>
                    </w:rPr>
                    <w:t xml:space="preserve"> los fundamentos del desarrollo social del ser humano y de las manifestaciones propias del pueblo</w:t>
                  </w:r>
                  <w:r>
                    <w:rPr>
                      <w:sz w:val="20"/>
                      <w:szCs w:val="20"/>
                    </w:rPr>
                    <w:t>.</w:t>
                  </w:r>
                </w:p>
                <w:p w:rsidR="007A12BA" w:rsidRDefault="007A12BA" w:rsidP="0038132E">
                  <w:pPr>
                    <w:pStyle w:val="Default"/>
                    <w:jc w:val="both"/>
                    <w:rPr>
                      <w:sz w:val="20"/>
                      <w:szCs w:val="20"/>
                    </w:rPr>
                  </w:pPr>
                </w:p>
                <w:p w:rsidR="007A12BA" w:rsidRDefault="007A12BA" w:rsidP="0038132E">
                  <w:pPr>
                    <w:pStyle w:val="Default"/>
                    <w:jc w:val="both"/>
                    <w:rPr>
                      <w:sz w:val="20"/>
                      <w:szCs w:val="20"/>
                    </w:rPr>
                  </w:pPr>
                  <w:r>
                    <w:rPr>
                      <w:sz w:val="20"/>
                      <w:szCs w:val="20"/>
                    </w:rPr>
                    <w:t>En este contexto, la Ley 1753 de 2015 (Plan Nacional de Desarrollo 2014-2018) incluyó en su artículo 225 un precepto para promocionar las artes escénicas, consistente en la posibilidad de suscribir acuerdos de pago entre los contribuyentes y la administración territorial en relación con los impuestos derogados por la Ley 1493 de 2011, aspecto que incluye la facultad de cumplir con las obligaciones tributarias vencidas mediante la asignación de entradas gratuitas a la población objetivo que determine cada entidad territorial.</w:t>
                  </w:r>
                </w:p>
                <w:p w:rsidR="00320F8D" w:rsidRDefault="00320F8D" w:rsidP="0038132E">
                  <w:pPr>
                    <w:pStyle w:val="Default"/>
                    <w:jc w:val="both"/>
                    <w:rPr>
                      <w:sz w:val="20"/>
                      <w:szCs w:val="20"/>
                    </w:rPr>
                  </w:pPr>
                </w:p>
                <w:p w:rsidR="00320F8D" w:rsidRDefault="00320F8D" w:rsidP="0038132E">
                  <w:pPr>
                    <w:pStyle w:val="Default"/>
                    <w:jc w:val="both"/>
                    <w:rPr>
                      <w:sz w:val="20"/>
                      <w:szCs w:val="20"/>
                    </w:rPr>
                  </w:pPr>
                  <w:r>
                    <w:rPr>
                      <w:sz w:val="20"/>
                      <w:szCs w:val="20"/>
                    </w:rPr>
                    <w:t>Con la antedicha disposición de buscaron principalmente dos finalidades: i) incentivar a los contribuyentes a saldar sus obligaciones tributarias mediante acuerdos de pago que facilitarán el cumplimiento de tal deber, y ii) generar herramientas jurídicas que aseguren la inversión social y cultural mediante el pago de deudas tributarias con mecanismos directamente encaminados a garantizar el acceso de población objetivo a espacios artísticos y culturales.</w:t>
                  </w:r>
                </w:p>
                <w:p w:rsidR="00320F8D" w:rsidRDefault="00320F8D" w:rsidP="0038132E">
                  <w:pPr>
                    <w:pStyle w:val="Default"/>
                    <w:jc w:val="both"/>
                    <w:rPr>
                      <w:sz w:val="20"/>
                      <w:szCs w:val="20"/>
                    </w:rPr>
                  </w:pPr>
                </w:p>
                <w:p w:rsidR="00320F8D" w:rsidRDefault="00320F8D" w:rsidP="0038132E">
                  <w:pPr>
                    <w:pStyle w:val="Default"/>
                    <w:jc w:val="both"/>
                    <w:rPr>
                      <w:sz w:val="20"/>
                      <w:szCs w:val="20"/>
                    </w:rPr>
                  </w:pPr>
                  <w:r>
                    <w:rPr>
                      <w:sz w:val="20"/>
                      <w:szCs w:val="20"/>
                    </w:rPr>
                    <w:t>En este orden de ideas, la expedición del proyecto de decreto “</w:t>
                  </w:r>
                  <w:r w:rsidRPr="00320F8D">
                    <w:rPr>
                      <w:i/>
                      <w:sz w:val="20"/>
                      <w:szCs w:val="20"/>
                    </w:rPr>
                    <w:t>Por el cual</w:t>
                  </w:r>
                  <w:r w:rsidR="00DC0748">
                    <w:rPr>
                      <w:i/>
                      <w:sz w:val="20"/>
                      <w:szCs w:val="20"/>
                    </w:rPr>
                    <w:t xml:space="preserve"> se adiciona el Decreto 1080 de 2015 en lo relacionado con la </w:t>
                  </w:r>
                  <w:r w:rsidRPr="00320F8D">
                    <w:rPr>
                      <w:i/>
                      <w:sz w:val="20"/>
                      <w:szCs w:val="20"/>
                    </w:rPr>
                    <w:t>reglamenta</w:t>
                  </w:r>
                  <w:r w:rsidR="00DC0748">
                    <w:rPr>
                      <w:i/>
                      <w:sz w:val="20"/>
                      <w:szCs w:val="20"/>
                    </w:rPr>
                    <w:t>ción</w:t>
                  </w:r>
                  <w:r w:rsidRPr="00320F8D">
                    <w:rPr>
                      <w:i/>
                      <w:sz w:val="20"/>
                      <w:szCs w:val="20"/>
                    </w:rPr>
                    <w:t xml:space="preserve"> </w:t>
                  </w:r>
                  <w:r w:rsidR="00DC0748">
                    <w:rPr>
                      <w:i/>
                      <w:sz w:val="20"/>
                      <w:szCs w:val="20"/>
                    </w:rPr>
                    <w:t>d</w:t>
                  </w:r>
                  <w:r w:rsidRPr="00320F8D">
                    <w:rPr>
                      <w:i/>
                      <w:sz w:val="20"/>
                      <w:szCs w:val="20"/>
                    </w:rPr>
                    <w:t>el artículo 225 de la Ley 1753 de 2015, referente a la Promoción de las Artes Escénicas</w:t>
                  </w:r>
                  <w:r>
                    <w:rPr>
                      <w:sz w:val="20"/>
                      <w:szCs w:val="20"/>
                    </w:rPr>
                    <w:t>” es oportun</w:t>
                  </w:r>
                  <w:r w:rsidR="00397AC7">
                    <w:rPr>
                      <w:sz w:val="20"/>
                      <w:szCs w:val="20"/>
                    </w:rPr>
                    <w:t>a</w:t>
                  </w:r>
                  <w:r>
                    <w:rPr>
                      <w:sz w:val="20"/>
                      <w:szCs w:val="20"/>
                    </w:rPr>
                    <w:t xml:space="preserve"> y conveniente, en tanto resulta indispensable para hacer operativo un artículo del Plan Nacional de Desarrollo 2014-2018 que tiene por objeto incentivar el recaudo de pasivos tributarios y, adicionalmente, establecer mecanismos de acceso a la cultura y al arte.</w:t>
                  </w:r>
                </w:p>
                <w:p w:rsidR="00397AC7" w:rsidRPr="00005E76" w:rsidRDefault="00397AC7" w:rsidP="0038132E">
                  <w:pPr>
                    <w:pStyle w:val="Default"/>
                    <w:jc w:val="both"/>
                    <w:rPr>
                      <w:sz w:val="20"/>
                      <w:szCs w:val="20"/>
                    </w:rPr>
                  </w:pPr>
                </w:p>
              </w:tc>
            </w:tr>
          </w:tbl>
          <w:p w:rsidR="00354FEA" w:rsidRPr="00005E76" w:rsidRDefault="00354FEA" w:rsidP="00354FEA">
            <w:pPr>
              <w:pStyle w:val="Prrafodelista"/>
              <w:ind w:left="0"/>
              <w:jc w:val="both"/>
              <w:rPr>
                <w:rFonts w:ascii="Verdana" w:eastAsiaTheme="minorHAnsi" w:hAnsi="Verdana" w:cs="Verdana"/>
                <w:color w:val="000000"/>
                <w:sz w:val="20"/>
                <w:szCs w:val="20"/>
                <w:lang w:eastAsia="en-US"/>
              </w:rPr>
            </w:pPr>
          </w:p>
        </w:tc>
      </w:tr>
      <w:tr w:rsidR="00354FEA" w:rsidRPr="00005E76" w:rsidTr="00B615FD">
        <w:tc>
          <w:tcPr>
            <w:tcW w:w="9962" w:type="dxa"/>
            <w:shd w:val="clear" w:color="auto" w:fill="F2F2F2" w:themeFill="background1" w:themeFillShade="F2"/>
          </w:tcPr>
          <w:p w:rsidR="00354FEA" w:rsidRPr="00005E76" w:rsidRDefault="00354FEA" w:rsidP="002723EB">
            <w:pPr>
              <w:pStyle w:val="Prrafodelista"/>
              <w:numPr>
                <w:ilvl w:val="0"/>
                <w:numId w:val="1"/>
              </w:numPr>
              <w:jc w:val="center"/>
              <w:rPr>
                <w:rFonts w:ascii="Verdana" w:hAnsi="Verdana" w:cs="Arial"/>
                <w:sz w:val="20"/>
                <w:szCs w:val="20"/>
              </w:rPr>
            </w:pPr>
            <w:r w:rsidRPr="00005E76">
              <w:rPr>
                <w:rFonts w:ascii="Verdana" w:hAnsi="Verdana" w:cs="Arial"/>
                <w:b/>
                <w:sz w:val="20"/>
                <w:szCs w:val="20"/>
              </w:rPr>
              <w:t>Impactos esperados</w:t>
            </w:r>
          </w:p>
        </w:tc>
      </w:tr>
      <w:tr w:rsidR="00354FEA" w:rsidRPr="00005E76" w:rsidTr="00B615FD">
        <w:tc>
          <w:tcPr>
            <w:tcW w:w="9962" w:type="dxa"/>
            <w:shd w:val="clear" w:color="auto" w:fill="auto"/>
          </w:tcPr>
          <w:p w:rsidR="00354FEA" w:rsidRPr="00005E76" w:rsidRDefault="00354FEA" w:rsidP="00354FEA">
            <w:pPr>
              <w:pStyle w:val="Default"/>
              <w:jc w:val="both"/>
              <w:rPr>
                <w:sz w:val="20"/>
                <w:szCs w:val="20"/>
              </w:rPr>
            </w:pPr>
          </w:p>
          <w:p w:rsidR="00354FEA" w:rsidRDefault="00354FEA" w:rsidP="00397AC7">
            <w:pPr>
              <w:pStyle w:val="Default"/>
              <w:jc w:val="both"/>
              <w:rPr>
                <w:sz w:val="20"/>
                <w:szCs w:val="20"/>
              </w:rPr>
            </w:pPr>
            <w:r w:rsidRPr="00005E76">
              <w:rPr>
                <w:sz w:val="20"/>
                <w:szCs w:val="20"/>
              </w:rPr>
              <w:t>Con la expedición del presente decreto</w:t>
            </w:r>
            <w:r w:rsidR="00397AC7">
              <w:rPr>
                <w:sz w:val="20"/>
                <w:szCs w:val="20"/>
              </w:rPr>
              <w:t xml:space="preserve"> se proyecta incentivar el pago de deudas tributarias en dinero o mediante la provisión de acceso gratuito a población objetivo a espectáculos artísticos. Lo anterior redundará en una mayor inversión y/o recaudo para el sector cultura, lo que deriva </w:t>
            </w:r>
            <w:r w:rsidR="00397AC7">
              <w:rPr>
                <w:sz w:val="20"/>
                <w:szCs w:val="20"/>
              </w:rPr>
              <w:lastRenderedPageBreak/>
              <w:t xml:space="preserve">necesariamente en beneficios para la población objetivo -especialmente segmentos poblacionales en vulnerabilidad- que accederá a espectáculos de forma gratuita. </w:t>
            </w:r>
          </w:p>
          <w:p w:rsidR="002723AE" w:rsidRPr="00005E76" w:rsidRDefault="002723AE" w:rsidP="00397AC7">
            <w:pPr>
              <w:pStyle w:val="Default"/>
              <w:jc w:val="both"/>
              <w:rPr>
                <w:rFonts w:cs="Arial"/>
                <w:b/>
                <w:sz w:val="20"/>
                <w:szCs w:val="20"/>
              </w:rPr>
            </w:pPr>
          </w:p>
        </w:tc>
      </w:tr>
      <w:tr w:rsidR="00354FEA" w:rsidRPr="00005E76" w:rsidTr="00B615FD">
        <w:tc>
          <w:tcPr>
            <w:tcW w:w="9962" w:type="dxa"/>
            <w:shd w:val="clear" w:color="auto" w:fill="auto"/>
          </w:tcPr>
          <w:p w:rsidR="00354FEA" w:rsidRPr="00005E76" w:rsidRDefault="00354FEA" w:rsidP="00655296">
            <w:pPr>
              <w:pStyle w:val="NormalWeb"/>
              <w:spacing w:before="0" w:beforeAutospacing="0" w:after="0" w:afterAutospacing="0"/>
              <w:jc w:val="both"/>
              <w:rPr>
                <w:rFonts w:ascii="Verdana" w:hAnsi="Verdana" w:cs="Arial"/>
                <w:bCs/>
                <w:sz w:val="20"/>
                <w:szCs w:val="20"/>
              </w:rPr>
            </w:pPr>
            <w:r w:rsidRPr="00005E76">
              <w:rPr>
                <w:rFonts w:ascii="Verdana" w:hAnsi="Verdana" w:cs="Arial"/>
                <w:b/>
                <w:bCs/>
                <w:sz w:val="20"/>
                <w:szCs w:val="20"/>
              </w:rPr>
              <w:lastRenderedPageBreak/>
              <w:t>2.1. Oportunidad del proyecto</w:t>
            </w:r>
          </w:p>
        </w:tc>
      </w:tr>
      <w:tr w:rsidR="00354FEA" w:rsidRPr="00005E76" w:rsidTr="00B615FD">
        <w:tc>
          <w:tcPr>
            <w:tcW w:w="9962" w:type="dxa"/>
            <w:shd w:val="clear" w:color="auto" w:fill="auto"/>
          </w:tcPr>
          <w:p w:rsidR="00397AC7" w:rsidRDefault="00397AC7" w:rsidP="00354FEA">
            <w:pPr>
              <w:pStyle w:val="Default"/>
              <w:jc w:val="both"/>
              <w:rPr>
                <w:sz w:val="20"/>
                <w:szCs w:val="20"/>
              </w:rPr>
            </w:pPr>
          </w:p>
          <w:p w:rsidR="00354FEA" w:rsidRPr="00005E76" w:rsidRDefault="00397AC7" w:rsidP="00354FEA">
            <w:pPr>
              <w:pStyle w:val="Default"/>
              <w:jc w:val="both"/>
              <w:rPr>
                <w:sz w:val="20"/>
                <w:szCs w:val="20"/>
              </w:rPr>
            </w:pPr>
            <w:r>
              <w:rPr>
                <w:sz w:val="20"/>
                <w:szCs w:val="20"/>
              </w:rPr>
              <w:t>Es el momento oportuno para la expedición del decreto, debido a que el gobierno debe reglamentar el artículo 225 de la Ley 1753 de 2015 para permitir su entrada en operación y con ello la generación de los impactos esperados.</w:t>
            </w:r>
          </w:p>
          <w:p w:rsidR="00354FEA" w:rsidRPr="00005E76" w:rsidRDefault="00354FEA" w:rsidP="00655296">
            <w:pPr>
              <w:pStyle w:val="NormalWeb"/>
              <w:spacing w:before="0" w:beforeAutospacing="0" w:after="0" w:afterAutospacing="0"/>
              <w:jc w:val="both"/>
              <w:rPr>
                <w:rFonts w:ascii="Verdana" w:hAnsi="Verdana" w:cs="Arial"/>
                <w:bCs/>
                <w:sz w:val="20"/>
                <w:szCs w:val="20"/>
              </w:rPr>
            </w:pPr>
          </w:p>
        </w:tc>
      </w:tr>
      <w:tr w:rsidR="00354FEA" w:rsidRPr="00005E76" w:rsidTr="00B615FD">
        <w:tc>
          <w:tcPr>
            <w:tcW w:w="9962" w:type="dxa"/>
            <w:shd w:val="clear" w:color="auto" w:fill="auto"/>
          </w:tcPr>
          <w:p w:rsidR="00354FEA" w:rsidRPr="00005E76" w:rsidRDefault="00354FEA" w:rsidP="00354FEA">
            <w:pPr>
              <w:pStyle w:val="NormalWeb"/>
              <w:spacing w:before="0" w:beforeAutospacing="0" w:after="0" w:afterAutospacing="0"/>
              <w:jc w:val="both"/>
              <w:rPr>
                <w:rFonts w:ascii="Verdana" w:hAnsi="Verdana" w:cs="Arial"/>
                <w:bCs/>
                <w:sz w:val="20"/>
                <w:szCs w:val="20"/>
              </w:rPr>
            </w:pPr>
            <w:r w:rsidRPr="00005E76">
              <w:rPr>
                <w:rFonts w:ascii="Verdana" w:hAnsi="Verdana" w:cs="Arial"/>
                <w:b/>
                <w:bCs/>
                <w:sz w:val="20"/>
                <w:szCs w:val="20"/>
              </w:rPr>
              <w:t>2.2. Impacto jurídico</w:t>
            </w:r>
          </w:p>
        </w:tc>
      </w:tr>
      <w:tr w:rsidR="00354FEA" w:rsidRPr="00005E76" w:rsidTr="00B615FD">
        <w:tc>
          <w:tcPr>
            <w:tcW w:w="9962" w:type="dxa"/>
            <w:shd w:val="clear" w:color="auto" w:fill="auto"/>
          </w:tcPr>
          <w:p w:rsidR="00354FEA" w:rsidRPr="00005E76" w:rsidRDefault="00354FEA" w:rsidP="00354FEA">
            <w:pPr>
              <w:pStyle w:val="Default"/>
              <w:jc w:val="both"/>
              <w:rPr>
                <w:sz w:val="20"/>
                <w:szCs w:val="20"/>
              </w:rPr>
            </w:pPr>
          </w:p>
          <w:p w:rsidR="00354FEA" w:rsidRPr="00005E76" w:rsidRDefault="00397AC7" w:rsidP="00354FEA">
            <w:pPr>
              <w:pStyle w:val="Default"/>
              <w:jc w:val="both"/>
              <w:rPr>
                <w:sz w:val="20"/>
                <w:szCs w:val="20"/>
              </w:rPr>
            </w:pPr>
            <w:r>
              <w:rPr>
                <w:sz w:val="20"/>
                <w:szCs w:val="20"/>
              </w:rPr>
              <w:t>Con la expedición del proyecto de d</w:t>
            </w:r>
            <w:r w:rsidR="00354FEA" w:rsidRPr="00005E76">
              <w:rPr>
                <w:sz w:val="20"/>
                <w:szCs w:val="20"/>
              </w:rPr>
              <w:t>ecret</w:t>
            </w:r>
            <w:r>
              <w:rPr>
                <w:sz w:val="20"/>
                <w:szCs w:val="20"/>
              </w:rPr>
              <w:t>o que adiciona del Decreto 1080 de 2015</w:t>
            </w:r>
            <w:r w:rsidR="00354FEA" w:rsidRPr="00005E76">
              <w:rPr>
                <w:sz w:val="20"/>
                <w:szCs w:val="20"/>
              </w:rPr>
              <w:t>, se dará un efectivo cumplimiento a l</w:t>
            </w:r>
            <w:r>
              <w:rPr>
                <w:sz w:val="20"/>
                <w:szCs w:val="20"/>
              </w:rPr>
              <w:t>o establecido por el artículo 225</w:t>
            </w:r>
            <w:r w:rsidR="00354FEA" w:rsidRPr="00005E76">
              <w:rPr>
                <w:sz w:val="20"/>
                <w:szCs w:val="20"/>
              </w:rPr>
              <w:t xml:space="preserve"> de la Ley 1753</w:t>
            </w:r>
            <w:r>
              <w:rPr>
                <w:sz w:val="20"/>
                <w:szCs w:val="20"/>
              </w:rPr>
              <w:t xml:space="preserve"> de 2015, mediante la que se expidió</w:t>
            </w:r>
            <w:r w:rsidR="00354FEA" w:rsidRPr="00005E76">
              <w:rPr>
                <w:sz w:val="20"/>
                <w:szCs w:val="20"/>
              </w:rPr>
              <w:t xml:space="preserve"> el Plan Nacional de Desarrollo 2014-2018 “Todos por un </w:t>
            </w:r>
            <w:r>
              <w:rPr>
                <w:sz w:val="20"/>
                <w:szCs w:val="20"/>
              </w:rPr>
              <w:t>nuevo país”, en el cual se fija el propósito de promoción a las artes escénicas.</w:t>
            </w:r>
          </w:p>
          <w:p w:rsidR="00354FEA" w:rsidRPr="00005E76" w:rsidRDefault="00354FEA" w:rsidP="00354FEA">
            <w:pPr>
              <w:pStyle w:val="Default"/>
              <w:jc w:val="both"/>
              <w:rPr>
                <w:sz w:val="20"/>
                <w:szCs w:val="20"/>
              </w:rPr>
            </w:pPr>
          </w:p>
          <w:p w:rsidR="00354FEA" w:rsidRDefault="00D62FF6" w:rsidP="00D62FF6">
            <w:pPr>
              <w:pStyle w:val="Default"/>
              <w:jc w:val="both"/>
              <w:rPr>
                <w:sz w:val="20"/>
                <w:szCs w:val="20"/>
              </w:rPr>
            </w:pPr>
            <w:r>
              <w:rPr>
                <w:sz w:val="20"/>
                <w:szCs w:val="20"/>
              </w:rPr>
              <w:t>Por consiguiente, en el presente caso el impacto jurídico del decreto es equivalente a la necesidad de reglamentación del Plan Nacional de Desarrollo -en específico el artículo 225- para su ejecución práctica.</w:t>
            </w:r>
          </w:p>
          <w:p w:rsidR="00D62FF6" w:rsidRPr="00005E76" w:rsidRDefault="00D62FF6" w:rsidP="00D62FF6">
            <w:pPr>
              <w:pStyle w:val="Default"/>
              <w:jc w:val="both"/>
              <w:rPr>
                <w:rFonts w:cs="Arial"/>
                <w:bCs/>
                <w:sz w:val="20"/>
                <w:szCs w:val="20"/>
              </w:rPr>
            </w:pPr>
          </w:p>
        </w:tc>
      </w:tr>
      <w:tr w:rsidR="00354FEA" w:rsidRPr="00005E76" w:rsidTr="00B615FD">
        <w:tc>
          <w:tcPr>
            <w:tcW w:w="9962" w:type="dxa"/>
            <w:shd w:val="clear" w:color="auto" w:fill="auto"/>
          </w:tcPr>
          <w:p w:rsidR="00354FEA" w:rsidRPr="00005E76" w:rsidRDefault="00354FEA" w:rsidP="00655296">
            <w:pPr>
              <w:pStyle w:val="NormalWeb"/>
              <w:spacing w:before="0" w:beforeAutospacing="0" w:after="0" w:afterAutospacing="0"/>
              <w:jc w:val="both"/>
              <w:rPr>
                <w:rFonts w:ascii="Verdana" w:hAnsi="Verdana" w:cs="Arial"/>
                <w:b/>
                <w:bCs/>
                <w:sz w:val="20"/>
                <w:szCs w:val="20"/>
              </w:rPr>
            </w:pPr>
            <w:r w:rsidRPr="00005E76">
              <w:rPr>
                <w:rFonts w:ascii="Verdana" w:hAnsi="Verdana" w:cs="Arial"/>
                <w:b/>
                <w:bCs/>
                <w:sz w:val="20"/>
                <w:szCs w:val="20"/>
              </w:rPr>
              <w:t>2.3. Impacto económic</w:t>
            </w:r>
            <w:r w:rsidR="0003784A" w:rsidRPr="00005E76">
              <w:rPr>
                <w:rFonts w:ascii="Verdana" w:hAnsi="Verdana" w:cs="Arial"/>
                <w:b/>
                <w:bCs/>
                <w:sz w:val="20"/>
                <w:szCs w:val="20"/>
              </w:rPr>
              <w:t>o</w:t>
            </w:r>
          </w:p>
        </w:tc>
      </w:tr>
      <w:tr w:rsidR="00354FEA" w:rsidRPr="00005E76" w:rsidTr="00B615FD">
        <w:tc>
          <w:tcPr>
            <w:tcW w:w="9962" w:type="dxa"/>
            <w:shd w:val="clear" w:color="auto" w:fill="auto"/>
          </w:tcPr>
          <w:p w:rsidR="0003784A" w:rsidRPr="00005E76" w:rsidRDefault="0003784A" w:rsidP="0003784A">
            <w:pPr>
              <w:pStyle w:val="Default"/>
              <w:jc w:val="both"/>
              <w:rPr>
                <w:sz w:val="20"/>
                <w:szCs w:val="20"/>
              </w:rPr>
            </w:pPr>
          </w:p>
          <w:p w:rsidR="0003784A" w:rsidRPr="00005E76" w:rsidRDefault="0003784A" w:rsidP="0003784A">
            <w:pPr>
              <w:pStyle w:val="Default"/>
              <w:jc w:val="both"/>
              <w:rPr>
                <w:sz w:val="20"/>
                <w:szCs w:val="20"/>
              </w:rPr>
            </w:pPr>
            <w:r w:rsidRPr="00005E76">
              <w:rPr>
                <w:sz w:val="20"/>
                <w:szCs w:val="20"/>
              </w:rPr>
              <w:t>Esta medida impactará directame</w:t>
            </w:r>
            <w:r w:rsidR="00D62FF6">
              <w:rPr>
                <w:sz w:val="20"/>
                <w:szCs w:val="20"/>
              </w:rPr>
              <w:t>nte al sector cultural</w:t>
            </w:r>
            <w:r w:rsidRPr="00005E76">
              <w:rPr>
                <w:sz w:val="20"/>
                <w:szCs w:val="20"/>
              </w:rPr>
              <w:t xml:space="preserve">, </w:t>
            </w:r>
            <w:r w:rsidR="00D62FF6">
              <w:rPr>
                <w:sz w:val="20"/>
                <w:szCs w:val="20"/>
              </w:rPr>
              <w:t>por cuanto se espera que facilite</w:t>
            </w:r>
            <w:r w:rsidRPr="00005E76">
              <w:rPr>
                <w:sz w:val="20"/>
                <w:szCs w:val="20"/>
              </w:rPr>
              <w:t xml:space="preserve"> </w:t>
            </w:r>
            <w:r w:rsidR="00D62FF6">
              <w:rPr>
                <w:sz w:val="20"/>
                <w:szCs w:val="20"/>
              </w:rPr>
              <w:t>el recaudo de obligaciones tributarias bien en dinero o en especie, lo que derivará en la promoción de las artes escénicas, de manera focalizada en la población objetivo -constituida principalmente por población vulnerable-.</w:t>
            </w:r>
          </w:p>
          <w:p w:rsidR="00ED4014" w:rsidRPr="00005E76" w:rsidRDefault="00ED4014" w:rsidP="00D62FF6">
            <w:pPr>
              <w:pStyle w:val="NormalWeb"/>
              <w:spacing w:before="0" w:beforeAutospacing="0" w:after="0" w:afterAutospacing="0"/>
              <w:jc w:val="both"/>
              <w:rPr>
                <w:rFonts w:ascii="Verdana" w:eastAsiaTheme="minorHAnsi" w:hAnsi="Verdana" w:cs="Verdana"/>
                <w:color w:val="000000"/>
                <w:sz w:val="20"/>
                <w:szCs w:val="20"/>
                <w:lang w:eastAsia="en-US"/>
              </w:rPr>
            </w:pPr>
          </w:p>
        </w:tc>
      </w:tr>
      <w:tr w:rsidR="00354FEA" w:rsidRPr="00005E76" w:rsidTr="00B615FD">
        <w:tc>
          <w:tcPr>
            <w:tcW w:w="9962" w:type="dxa"/>
            <w:shd w:val="clear" w:color="auto" w:fill="auto"/>
          </w:tcPr>
          <w:p w:rsidR="00354FEA" w:rsidRPr="00005E76" w:rsidRDefault="0003784A" w:rsidP="00655296">
            <w:pPr>
              <w:pStyle w:val="NormalWeb"/>
              <w:spacing w:before="0" w:beforeAutospacing="0" w:after="0" w:afterAutospacing="0"/>
              <w:jc w:val="both"/>
              <w:rPr>
                <w:rFonts w:ascii="Verdana" w:hAnsi="Verdana" w:cs="Arial"/>
                <w:b/>
                <w:bCs/>
                <w:sz w:val="20"/>
                <w:szCs w:val="20"/>
              </w:rPr>
            </w:pPr>
            <w:r w:rsidRPr="00005E76">
              <w:rPr>
                <w:rFonts w:ascii="Verdana" w:hAnsi="Verdana" w:cs="Arial"/>
                <w:b/>
                <w:bCs/>
                <w:sz w:val="20"/>
                <w:szCs w:val="20"/>
              </w:rPr>
              <w:t>2.4. Impacto presupuestal</w:t>
            </w:r>
          </w:p>
        </w:tc>
      </w:tr>
      <w:tr w:rsidR="0003784A" w:rsidRPr="00005E76" w:rsidTr="00B615FD">
        <w:tc>
          <w:tcPr>
            <w:tcW w:w="9962" w:type="dxa"/>
            <w:shd w:val="clear" w:color="auto" w:fill="auto"/>
          </w:tcPr>
          <w:p w:rsidR="0003784A" w:rsidRPr="00005E76" w:rsidRDefault="0003784A" w:rsidP="0003784A">
            <w:pPr>
              <w:pStyle w:val="Default"/>
              <w:jc w:val="both"/>
              <w:rPr>
                <w:sz w:val="20"/>
                <w:szCs w:val="20"/>
              </w:rPr>
            </w:pPr>
          </w:p>
          <w:p w:rsidR="0003784A" w:rsidRPr="00005E76" w:rsidRDefault="00D62FF6" w:rsidP="0003784A">
            <w:pPr>
              <w:pStyle w:val="Default"/>
              <w:jc w:val="both"/>
              <w:rPr>
                <w:sz w:val="20"/>
                <w:szCs w:val="20"/>
              </w:rPr>
            </w:pPr>
            <w:r>
              <w:rPr>
                <w:sz w:val="20"/>
                <w:szCs w:val="20"/>
              </w:rPr>
              <w:t>L</w:t>
            </w:r>
            <w:r w:rsidRPr="00005E76">
              <w:rPr>
                <w:sz w:val="20"/>
                <w:szCs w:val="20"/>
              </w:rPr>
              <w:t xml:space="preserve">os costos fiscales del proyecto normativo </w:t>
            </w:r>
            <w:r>
              <w:rPr>
                <w:sz w:val="20"/>
                <w:szCs w:val="20"/>
              </w:rPr>
              <w:t xml:space="preserve">y </w:t>
            </w:r>
            <w:r w:rsidRPr="00005E76">
              <w:rPr>
                <w:sz w:val="20"/>
                <w:szCs w:val="20"/>
              </w:rPr>
              <w:t>la fuente para la financiación</w:t>
            </w:r>
            <w:r>
              <w:rPr>
                <w:sz w:val="20"/>
                <w:szCs w:val="20"/>
              </w:rPr>
              <w:t xml:space="preserve"> provendrán del mismo recaudo que se realice en virtud del proyecto de decreto y de los acuerdos de pago que se llegaren a suscribir.</w:t>
            </w:r>
            <w:r w:rsidR="0003784A" w:rsidRPr="00005E76">
              <w:rPr>
                <w:sz w:val="20"/>
                <w:szCs w:val="20"/>
              </w:rPr>
              <w:t xml:space="preserve"> </w:t>
            </w:r>
          </w:p>
          <w:p w:rsidR="0003784A" w:rsidRPr="00005E76" w:rsidRDefault="0003784A" w:rsidP="0003784A">
            <w:pPr>
              <w:pStyle w:val="Default"/>
              <w:jc w:val="both"/>
              <w:rPr>
                <w:sz w:val="20"/>
                <w:szCs w:val="20"/>
              </w:rPr>
            </w:pPr>
          </w:p>
          <w:p w:rsidR="0003784A" w:rsidRPr="00005E76" w:rsidRDefault="0003784A" w:rsidP="0003784A">
            <w:pPr>
              <w:pStyle w:val="Default"/>
              <w:jc w:val="both"/>
              <w:rPr>
                <w:sz w:val="20"/>
                <w:szCs w:val="20"/>
              </w:rPr>
            </w:pPr>
            <w:r w:rsidRPr="00005E76">
              <w:rPr>
                <w:sz w:val="20"/>
                <w:szCs w:val="20"/>
              </w:rPr>
              <w:t xml:space="preserve">La expedición del proyecto normativo no requiere de Certificado de Disponibilidad Presupuestal. </w:t>
            </w:r>
          </w:p>
          <w:p w:rsidR="0003784A" w:rsidRPr="00005E76" w:rsidRDefault="0003784A" w:rsidP="0003784A">
            <w:pPr>
              <w:pStyle w:val="NormalWeb"/>
              <w:spacing w:before="0" w:beforeAutospacing="0" w:after="0" w:afterAutospacing="0"/>
              <w:jc w:val="both"/>
              <w:rPr>
                <w:rFonts w:ascii="Verdana" w:hAnsi="Verdana" w:cs="Arial"/>
                <w:b/>
                <w:bCs/>
                <w:sz w:val="20"/>
                <w:szCs w:val="20"/>
              </w:rPr>
            </w:pPr>
          </w:p>
        </w:tc>
      </w:tr>
      <w:tr w:rsidR="00354FEA" w:rsidRPr="00005E76" w:rsidTr="00B615FD">
        <w:tc>
          <w:tcPr>
            <w:tcW w:w="9962" w:type="dxa"/>
            <w:shd w:val="clear" w:color="auto" w:fill="auto"/>
          </w:tcPr>
          <w:p w:rsidR="00354FEA" w:rsidRPr="00005E76" w:rsidRDefault="00354FEA" w:rsidP="00655296">
            <w:pPr>
              <w:pStyle w:val="NormalWeb"/>
              <w:spacing w:before="0" w:beforeAutospacing="0" w:after="0" w:afterAutospacing="0"/>
              <w:jc w:val="both"/>
              <w:rPr>
                <w:rFonts w:ascii="Verdana" w:hAnsi="Verdana" w:cs="Arial"/>
                <w:b/>
                <w:sz w:val="20"/>
                <w:szCs w:val="20"/>
              </w:rPr>
            </w:pPr>
            <w:r w:rsidRPr="00005E76">
              <w:rPr>
                <w:rFonts w:ascii="Verdana" w:hAnsi="Verdana" w:cs="Arial"/>
                <w:b/>
                <w:sz w:val="20"/>
                <w:szCs w:val="20"/>
              </w:rPr>
              <w:t>2.5. Impacto ambiental, ecológico</w:t>
            </w:r>
            <w:r w:rsidR="0003784A" w:rsidRPr="00005E76">
              <w:rPr>
                <w:rFonts w:ascii="Verdana" w:hAnsi="Verdana" w:cs="Arial"/>
                <w:b/>
                <w:sz w:val="20"/>
                <w:szCs w:val="20"/>
              </w:rPr>
              <w:t xml:space="preserve"> y sobre el patrimonio cultural</w:t>
            </w:r>
          </w:p>
        </w:tc>
      </w:tr>
      <w:tr w:rsidR="00354FEA" w:rsidRPr="00005E76" w:rsidTr="00B615FD">
        <w:tc>
          <w:tcPr>
            <w:tcW w:w="9962" w:type="dxa"/>
            <w:shd w:val="clear" w:color="auto" w:fill="auto"/>
          </w:tcPr>
          <w:p w:rsidR="0003784A" w:rsidRPr="00005E76" w:rsidRDefault="0003784A" w:rsidP="0003784A">
            <w:pPr>
              <w:pStyle w:val="Default"/>
              <w:jc w:val="both"/>
              <w:rPr>
                <w:sz w:val="20"/>
                <w:szCs w:val="20"/>
              </w:rPr>
            </w:pPr>
          </w:p>
          <w:p w:rsidR="0003784A" w:rsidRPr="00005E76" w:rsidRDefault="0003784A" w:rsidP="0003784A">
            <w:pPr>
              <w:pStyle w:val="Default"/>
              <w:jc w:val="both"/>
              <w:rPr>
                <w:sz w:val="20"/>
                <w:szCs w:val="20"/>
              </w:rPr>
            </w:pPr>
            <w:r w:rsidRPr="00005E76">
              <w:rPr>
                <w:sz w:val="20"/>
                <w:szCs w:val="20"/>
              </w:rPr>
              <w:t xml:space="preserve">No se requiera la elaboración de un estudio de impacto ambiental y ecológico, ni de afectación sobre el patrimonio cultural de la Nación. </w:t>
            </w:r>
          </w:p>
          <w:p w:rsidR="00354FEA" w:rsidRPr="00005E76" w:rsidRDefault="00354FEA" w:rsidP="00655296">
            <w:pPr>
              <w:pStyle w:val="Prrafodelista"/>
              <w:ind w:left="0"/>
              <w:jc w:val="both"/>
              <w:rPr>
                <w:rFonts w:ascii="Verdana" w:hAnsi="Verdana" w:cs="Arial"/>
                <w:sz w:val="20"/>
                <w:szCs w:val="20"/>
              </w:rPr>
            </w:pPr>
          </w:p>
        </w:tc>
      </w:tr>
      <w:tr w:rsidR="00354FEA" w:rsidRPr="00005E76" w:rsidTr="00B615FD">
        <w:tc>
          <w:tcPr>
            <w:tcW w:w="9962" w:type="dxa"/>
            <w:shd w:val="clear" w:color="auto" w:fill="F2F2F2" w:themeFill="background1" w:themeFillShade="F2"/>
          </w:tcPr>
          <w:p w:rsidR="00354FEA" w:rsidRPr="00005E76" w:rsidRDefault="00354FEA" w:rsidP="002723EB">
            <w:pPr>
              <w:pStyle w:val="Prrafodelista"/>
              <w:numPr>
                <w:ilvl w:val="0"/>
                <w:numId w:val="1"/>
              </w:numPr>
              <w:jc w:val="center"/>
              <w:rPr>
                <w:rFonts w:ascii="Verdana" w:hAnsi="Verdana" w:cs="Arial"/>
                <w:b/>
                <w:sz w:val="20"/>
                <w:szCs w:val="20"/>
              </w:rPr>
            </w:pPr>
            <w:r w:rsidRPr="00005E76">
              <w:rPr>
                <w:rFonts w:ascii="Verdana" w:hAnsi="Verdana" w:cs="Arial"/>
                <w:b/>
                <w:sz w:val="20"/>
                <w:szCs w:val="20"/>
              </w:rPr>
              <w:t>Ámbito de aplicación y sujetos destinatarios</w:t>
            </w:r>
          </w:p>
        </w:tc>
      </w:tr>
      <w:tr w:rsidR="00354FEA" w:rsidRPr="00005E76" w:rsidTr="00B615FD">
        <w:tc>
          <w:tcPr>
            <w:tcW w:w="9962" w:type="dxa"/>
            <w:shd w:val="clear" w:color="auto" w:fill="auto"/>
          </w:tcPr>
          <w:p w:rsidR="00354FEA" w:rsidRPr="00005E76" w:rsidRDefault="00354FEA" w:rsidP="00655296">
            <w:pPr>
              <w:jc w:val="both"/>
              <w:rPr>
                <w:rFonts w:ascii="Verdana" w:hAnsi="Verdana" w:cs="Arial"/>
                <w:sz w:val="20"/>
                <w:szCs w:val="20"/>
              </w:rPr>
            </w:pPr>
            <w:r w:rsidRPr="00005E76">
              <w:rPr>
                <w:rFonts w:ascii="Verdana" w:hAnsi="Verdana" w:cs="Arial"/>
                <w:b/>
                <w:sz w:val="20"/>
                <w:szCs w:val="20"/>
              </w:rPr>
              <w:t>3.1. Ámbito de aplicación</w:t>
            </w:r>
            <w:r w:rsidRPr="00005E76">
              <w:rPr>
                <w:rFonts w:ascii="Verdana" w:hAnsi="Verdana" w:cs="Arial"/>
                <w:sz w:val="20"/>
                <w:szCs w:val="20"/>
              </w:rPr>
              <w:t xml:space="preserve"> </w:t>
            </w:r>
          </w:p>
        </w:tc>
      </w:tr>
      <w:tr w:rsidR="00354FEA" w:rsidRPr="00005E76" w:rsidTr="00B615FD">
        <w:tc>
          <w:tcPr>
            <w:tcW w:w="9962" w:type="dxa"/>
            <w:shd w:val="clear" w:color="auto" w:fill="auto"/>
          </w:tcPr>
          <w:p w:rsidR="0003784A" w:rsidRDefault="0003784A" w:rsidP="0003784A">
            <w:pPr>
              <w:pStyle w:val="Default"/>
              <w:jc w:val="both"/>
              <w:rPr>
                <w:sz w:val="20"/>
                <w:szCs w:val="20"/>
              </w:rPr>
            </w:pPr>
          </w:p>
          <w:p w:rsidR="00746D1E" w:rsidRPr="00005E76" w:rsidRDefault="00746D1E" w:rsidP="0003784A">
            <w:pPr>
              <w:pStyle w:val="Default"/>
              <w:jc w:val="both"/>
              <w:rPr>
                <w:sz w:val="20"/>
                <w:szCs w:val="20"/>
              </w:rPr>
            </w:pPr>
          </w:p>
          <w:p w:rsidR="00354FEA" w:rsidRPr="00005E76" w:rsidRDefault="0003784A" w:rsidP="0003784A">
            <w:pPr>
              <w:pStyle w:val="Default"/>
              <w:jc w:val="both"/>
              <w:rPr>
                <w:sz w:val="20"/>
                <w:szCs w:val="20"/>
              </w:rPr>
            </w:pPr>
            <w:r w:rsidRPr="00005E76">
              <w:rPr>
                <w:sz w:val="20"/>
                <w:szCs w:val="20"/>
              </w:rPr>
              <w:t xml:space="preserve">El ámbito de aplicación de este decreto es de nivel nacional. </w:t>
            </w:r>
          </w:p>
          <w:p w:rsidR="0003784A" w:rsidRDefault="0003784A" w:rsidP="0003784A">
            <w:pPr>
              <w:pStyle w:val="Default"/>
              <w:jc w:val="both"/>
              <w:rPr>
                <w:sz w:val="20"/>
                <w:szCs w:val="20"/>
              </w:rPr>
            </w:pPr>
          </w:p>
          <w:p w:rsidR="00746D1E" w:rsidRPr="00005E76" w:rsidRDefault="00746D1E" w:rsidP="0003784A">
            <w:pPr>
              <w:pStyle w:val="Default"/>
              <w:jc w:val="both"/>
              <w:rPr>
                <w:sz w:val="20"/>
                <w:szCs w:val="20"/>
              </w:rPr>
            </w:pPr>
          </w:p>
        </w:tc>
      </w:tr>
      <w:tr w:rsidR="00354FEA" w:rsidRPr="00005E76" w:rsidTr="00B615FD">
        <w:tc>
          <w:tcPr>
            <w:tcW w:w="9962" w:type="dxa"/>
            <w:shd w:val="clear" w:color="auto" w:fill="auto"/>
          </w:tcPr>
          <w:p w:rsidR="00354FEA" w:rsidRPr="00005E76" w:rsidRDefault="00354FEA" w:rsidP="00655296">
            <w:pPr>
              <w:jc w:val="both"/>
              <w:rPr>
                <w:rFonts w:ascii="Verdana" w:hAnsi="Verdana" w:cs="Arial"/>
                <w:sz w:val="20"/>
                <w:szCs w:val="20"/>
              </w:rPr>
            </w:pPr>
            <w:r w:rsidRPr="00005E76">
              <w:rPr>
                <w:rFonts w:ascii="Verdana" w:hAnsi="Verdana" w:cs="Arial"/>
                <w:b/>
                <w:sz w:val="20"/>
                <w:szCs w:val="20"/>
              </w:rPr>
              <w:t>3.2. Sujetos Beneficiarios</w:t>
            </w:r>
          </w:p>
        </w:tc>
      </w:tr>
      <w:tr w:rsidR="00354FEA" w:rsidRPr="00005E76" w:rsidTr="00B615FD">
        <w:tc>
          <w:tcPr>
            <w:tcW w:w="9962" w:type="dxa"/>
            <w:shd w:val="clear" w:color="auto" w:fill="auto"/>
          </w:tcPr>
          <w:p w:rsidR="000959FB" w:rsidRPr="00005E76" w:rsidRDefault="000959FB" w:rsidP="0003784A">
            <w:pPr>
              <w:pStyle w:val="Default"/>
              <w:jc w:val="both"/>
              <w:rPr>
                <w:sz w:val="20"/>
                <w:szCs w:val="20"/>
              </w:rPr>
            </w:pPr>
          </w:p>
          <w:p w:rsidR="00354FEA" w:rsidRPr="00005E76" w:rsidRDefault="00D62FF6" w:rsidP="00005E76">
            <w:pPr>
              <w:pStyle w:val="Default"/>
              <w:jc w:val="both"/>
              <w:rPr>
                <w:rFonts w:cs="Arial"/>
                <w:sz w:val="20"/>
                <w:szCs w:val="20"/>
              </w:rPr>
            </w:pPr>
            <w:r>
              <w:rPr>
                <w:sz w:val="20"/>
                <w:szCs w:val="20"/>
              </w:rPr>
              <w:t>Contribuyentes con obligaciones tributarias vencidas, entidades territoriales, población que accede a escenarios artísticos</w:t>
            </w:r>
            <w:r w:rsidR="0003784A" w:rsidRPr="00005E76">
              <w:rPr>
                <w:sz w:val="20"/>
                <w:szCs w:val="20"/>
              </w:rPr>
              <w:t xml:space="preserve">. </w:t>
            </w:r>
          </w:p>
          <w:p w:rsidR="00746D1E" w:rsidRDefault="00746D1E" w:rsidP="00655296">
            <w:pPr>
              <w:jc w:val="both"/>
              <w:rPr>
                <w:rFonts w:ascii="Verdana" w:hAnsi="Verdana" w:cs="Arial"/>
                <w:sz w:val="20"/>
                <w:szCs w:val="20"/>
              </w:rPr>
            </w:pPr>
          </w:p>
          <w:p w:rsidR="00746D1E" w:rsidRDefault="00746D1E" w:rsidP="00655296">
            <w:pPr>
              <w:jc w:val="both"/>
              <w:rPr>
                <w:rFonts w:ascii="Verdana" w:hAnsi="Verdana" w:cs="Arial"/>
                <w:sz w:val="20"/>
                <w:szCs w:val="20"/>
              </w:rPr>
            </w:pPr>
          </w:p>
          <w:p w:rsidR="00746D1E" w:rsidRPr="00005E76" w:rsidRDefault="00746D1E" w:rsidP="00655296">
            <w:pPr>
              <w:jc w:val="both"/>
              <w:rPr>
                <w:rFonts w:ascii="Verdana" w:hAnsi="Verdana" w:cs="Arial"/>
                <w:sz w:val="20"/>
                <w:szCs w:val="20"/>
              </w:rPr>
            </w:pPr>
          </w:p>
        </w:tc>
      </w:tr>
      <w:tr w:rsidR="00354FEA" w:rsidRPr="00005E76" w:rsidTr="00B615FD">
        <w:tc>
          <w:tcPr>
            <w:tcW w:w="9962" w:type="dxa"/>
            <w:shd w:val="clear" w:color="auto" w:fill="F2F2F2" w:themeFill="background1" w:themeFillShade="F2"/>
          </w:tcPr>
          <w:p w:rsidR="00354FEA" w:rsidRPr="00005E76" w:rsidRDefault="00354FEA" w:rsidP="002723EB">
            <w:pPr>
              <w:numPr>
                <w:ilvl w:val="0"/>
                <w:numId w:val="1"/>
              </w:numPr>
              <w:jc w:val="center"/>
              <w:rPr>
                <w:rFonts w:ascii="Verdana" w:hAnsi="Verdana" w:cs="Arial"/>
                <w:b/>
                <w:sz w:val="20"/>
                <w:szCs w:val="20"/>
              </w:rPr>
            </w:pPr>
            <w:r w:rsidRPr="00005E76">
              <w:rPr>
                <w:rFonts w:ascii="Verdana" w:hAnsi="Verdana" w:cs="Arial"/>
                <w:b/>
                <w:sz w:val="20"/>
                <w:szCs w:val="20"/>
              </w:rPr>
              <w:lastRenderedPageBreak/>
              <w:t>Viabilidad jurídica</w:t>
            </w:r>
          </w:p>
        </w:tc>
      </w:tr>
      <w:tr w:rsidR="002723EB" w:rsidRPr="00005E76" w:rsidTr="00B615FD">
        <w:tc>
          <w:tcPr>
            <w:tcW w:w="9962" w:type="dxa"/>
            <w:shd w:val="clear" w:color="auto" w:fill="auto"/>
          </w:tcPr>
          <w:p w:rsidR="002723EB" w:rsidRPr="002723EB" w:rsidRDefault="002723EB" w:rsidP="002723EB">
            <w:pPr>
              <w:pStyle w:val="Default"/>
              <w:jc w:val="both"/>
              <w:rPr>
                <w:b/>
                <w:sz w:val="20"/>
                <w:szCs w:val="20"/>
              </w:rPr>
            </w:pPr>
            <w:r w:rsidRPr="002723EB">
              <w:rPr>
                <w:b/>
                <w:sz w:val="20"/>
                <w:szCs w:val="20"/>
              </w:rPr>
              <w:t>4.1. Normas que otorgan la competencia para la expedición del Decreto</w:t>
            </w:r>
          </w:p>
        </w:tc>
      </w:tr>
      <w:tr w:rsidR="00354FEA" w:rsidRPr="00005E76" w:rsidTr="00B615FD">
        <w:tc>
          <w:tcPr>
            <w:tcW w:w="9962" w:type="dxa"/>
            <w:shd w:val="clear" w:color="auto" w:fill="auto"/>
          </w:tcPr>
          <w:p w:rsidR="000959FB" w:rsidRDefault="000959FB" w:rsidP="000959FB">
            <w:pPr>
              <w:pStyle w:val="Default"/>
              <w:jc w:val="both"/>
              <w:rPr>
                <w:sz w:val="20"/>
                <w:szCs w:val="20"/>
              </w:rPr>
            </w:pPr>
          </w:p>
          <w:p w:rsidR="000959FB" w:rsidRPr="00005E76" w:rsidRDefault="00B615FD" w:rsidP="000959FB">
            <w:pPr>
              <w:pStyle w:val="Default"/>
              <w:jc w:val="both"/>
              <w:rPr>
                <w:sz w:val="20"/>
                <w:szCs w:val="20"/>
              </w:rPr>
            </w:pPr>
            <w:r>
              <w:rPr>
                <w:sz w:val="20"/>
                <w:szCs w:val="20"/>
              </w:rPr>
              <w:t>1.1 La Constitución Política</w:t>
            </w:r>
          </w:p>
          <w:p w:rsidR="000959FB" w:rsidRPr="00005E76" w:rsidRDefault="000959FB" w:rsidP="000959FB">
            <w:pPr>
              <w:pStyle w:val="Default"/>
              <w:jc w:val="both"/>
              <w:rPr>
                <w:sz w:val="20"/>
                <w:szCs w:val="20"/>
              </w:rPr>
            </w:pPr>
          </w:p>
          <w:p w:rsidR="000959FB" w:rsidRPr="00005E76" w:rsidRDefault="000959FB" w:rsidP="000959FB">
            <w:pPr>
              <w:pStyle w:val="Default"/>
              <w:jc w:val="both"/>
              <w:rPr>
                <w:sz w:val="20"/>
                <w:szCs w:val="20"/>
              </w:rPr>
            </w:pPr>
            <w:r w:rsidRPr="00005E76">
              <w:rPr>
                <w:sz w:val="20"/>
                <w:szCs w:val="20"/>
              </w:rPr>
              <w:t xml:space="preserve">Artículo 189. “Corresponde al Presidente de la República como Jefe de Estado, Jefe del Gobierno y Suprema Autoridad Administrativa: (…) 11. Ejercer la potestad reglamentaria, mediante la expedición de los decretos, resoluciones y órdenes necesarios para la cumplida ejecución de las leyes.” </w:t>
            </w:r>
          </w:p>
          <w:p w:rsidR="000959FB" w:rsidRPr="00005E76" w:rsidRDefault="000959FB" w:rsidP="000959FB">
            <w:pPr>
              <w:pStyle w:val="Default"/>
              <w:jc w:val="both"/>
              <w:rPr>
                <w:sz w:val="20"/>
                <w:szCs w:val="20"/>
              </w:rPr>
            </w:pPr>
          </w:p>
          <w:p w:rsidR="000959FB" w:rsidRPr="00005E76" w:rsidRDefault="000959FB" w:rsidP="000959FB">
            <w:pPr>
              <w:pStyle w:val="Default"/>
              <w:jc w:val="both"/>
              <w:rPr>
                <w:sz w:val="20"/>
                <w:szCs w:val="20"/>
              </w:rPr>
            </w:pPr>
            <w:r w:rsidRPr="00005E76">
              <w:rPr>
                <w:sz w:val="20"/>
                <w:szCs w:val="20"/>
              </w:rPr>
              <w:t xml:space="preserve">La potestad reglamentaria es una facultad constitucional propia del Presidente de la República que lo autoriza para expedir normas de carácter general destinadas a la ejecución y cumplimiento de la ley. Esta potestad se caracteriza por ser una atribución constitucional inalienable, intransferible, inagotable, pues no tiene plazo y puede ejercerse en cualquier tiempo, e irrenunciable, porque es un atributo indispensable para la que la Administración cumpla con su función de ejecutar la ley. </w:t>
            </w:r>
          </w:p>
          <w:p w:rsidR="000959FB" w:rsidRPr="00005E76" w:rsidRDefault="000959FB" w:rsidP="000959FB">
            <w:pPr>
              <w:pStyle w:val="Default"/>
              <w:jc w:val="both"/>
              <w:rPr>
                <w:sz w:val="20"/>
                <w:szCs w:val="20"/>
              </w:rPr>
            </w:pPr>
          </w:p>
          <w:p w:rsidR="000959FB" w:rsidRPr="00005E76" w:rsidRDefault="000959FB" w:rsidP="000959FB">
            <w:pPr>
              <w:pStyle w:val="Default"/>
              <w:jc w:val="both"/>
              <w:rPr>
                <w:sz w:val="20"/>
                <w:szCs w:val="20"/>
              </w:rPr>
            </w:pPr>
            <w:r w:rsidRPr="00005E76">
              <w:rPr>
                <w:sz w:val="20"/>
                <w:szCs w:val="20"/>
              </w:rPr>
              <w:t xml:space="preserve">Esta potestad, a través de la cual se desarrollan las reglas y principios fijados en la ley que permiten su aplicación. Esta facultad en ningún caso puede modificar, ampliar o restringir la ley en cuanto a su contenido o alcance. </w:t>
            </w:r>
          </w:p>
          <w:p w:rsidR="000959FB" w:rsidRPr="00005E76" w:rsidRDefault="000959FB" w:rsidP="000959FB">
            <w:pPr>
              <w:pStyle w:val="Default"/>
              <w:jc w:val="both"/>
              <w:rPr>
                <w:sz w:val="20"/>
                <w:szCs w:val="20"/>
              </w:rPr>
            </w:pPr>
          </w:p>
          <w:p w:rsidR="000959FB" w:rsidRPr="00005E76" w:rsidRDefault="00B615FD" w:rsidP="000959FB">
            <w:pPr>
              <w:pStyle w:val="Default"/>
              <w:jc w:val="both"/>
              <w:rPr>
                <w:sz w:val="20"/>
                <w:szCs w:val="20"/>
              </w:rPr>
            </w:pPr>
            <w:r>
              <w:rPr>
                <w:sz w:val="20"/>
                <w:szCs w:val="20"/>
              </w:rPr>
              <w:t>1.2 La Ley 1753 de 2015</w:t>
            </w:r>
          </w:p>
          <w:p w:rsidR="000959FB" w:rsidRPr="00005E76" w:rsidRDefault="000959FB" w:rsidP="002723AE">
            <w:pPr>
              <w:pStyle w:val="Default"/>
              <w:jc w:val="both"/>
              <w:rPr>
                <w:sz w:val="20"/>
                <w:szCs w:val="20"/>
              </w:rPr>
            </w:pPr>
          </w:p>
          <w:p w:rsidR="00D62FF6" w:rsidRPr="00D62FF6" w:rsidRDefault="00D62FF6" w:rsidP="002723AE">
            <w:pPr>
              <w:pStyle w:val="Default"/>
              <w:jc w:val="both"/>
              <w:rPr>
                <w:sz w:val="20"/>
                <w:szCs w:val="20"/>
              </w:rPr>
            </w:pPr>
            <w:r w:rsidRPr="00D62FF6">
              <w:rPr>
                <w:sz w:val="20"/>
                <w:szCs w:val="20"/>
              </w:rPr>
              <w:t>Artículo 225. Promoción de artes escénicas. Los contribuyentes que paguen o suscriban acuerdos de pago en relación con los impuestos derogados por la Ley 1493 de 2011 no podrán ser objeto del cobro o ejecución de intereses o sanciones.</w:t>
            </w:r>
          </w:p>
          <w:p w:rsidR="00D62FF6" w:rsidRPr="00D62FF6" w:rsidRDefault="00D62FF6" w:rsidP="002723AE">
            <w:pPr>
              <w:pStyle w:val="Default"/>
              <w:jc w:val="both"/>
              <w:rPr>
                <w:sz w:val="20"/>
                <w:szCs w:val="20"/>
              </w:rPr>
            </w:pPr>
            <w:r w:rsidRPr="00D62FF6">
              <w:rPr>
                <w:sz w:val="20"/>
                <w:szCs w:val="20"/>
              </w:rPr>
              <w:t> </w:t>
            </w:r>
          </w:p>
          <w:p w:rsidR="00D62FF6" w:rsidRPr="00D62FF6" w:rsidRDefault="00D62FF6" w:rsidP="002723AE">
            <w:pPr>
              <w:pStyle w:val="Default"/>
              <w:jc w:val="both"/>
              <w:rPr>
                <w:sz w:val="20"/>
                <w:szCs w:val="20"/>
              </w:rPr>
            </w:pPr>
            <w:r w:rsidRPr="00D62FF6">
              <w:rPr>
                <w:sz w:val="20"/>
                <w:szCs w:val="20"/>
              </w:rPr>
              <w:t>Los acuerdos de pago podrán contemplar la posibilidad de cumplir con la obligación mediante la asignación de entradas gratuitas a la población objetivo que determine la entidad territorial interesada. Igualmente, los montos que no se pacten a través de la compensación antes descrita podrán ser descontados de la contribución parafiscal cultural a la boletería de los espectáculos públicos de las artes escénicas que a partir de la expedición de la presente ley se genere a cargo del contribuyente que suscriba el acuerdo de pago respectivo. En ambos casos, el plazo máximo de los acuerdos de pago será de veinte (20) años.</w:t>
            </w:r>
          </w:p>
          <w:p w:rsidR="000959FB" w:rsidRPr="00005E76" w:rsidRDefault="000959FB" w:rsidP="00D62FF6">
            <w:pPr>
              <w:jc w:val="both"/>
              <w:rPr>
                <w:rFonts w:ascii="Verdana" w:eastAsiaTheme="minorHAnsi" w:hAnsi="Verdana" w:cs="Verdana"/>
                <w:color w:val="000000"/>
                <w:sz w:val="20"/>
                <w:szCs w:val="20"/>
                <w:lang w:eastAsia="en-US"/>
              </w:rPr>
            </w:pPr>
          </w:p>
        </w:tc>
      </w:tr>
      <w:tr w:rsidR="002723EB" w:rsidRPr="00005E76" w:rsidTr="00B615FD">
        <w:tc>
          <w:tcPr>
            <w:tcW w:w="9962" w:type="dxa"/>
            <w:shd w:val="clear" w:color="auto" w:fill="auto"/>
          </w:tcPr>
          <w:p w:rsidR="002723EB" w:rsidRPr="00005E76" w:rsidRDefault="002723EB" w:rsidP="002723EB">
            <w:pPr>
              <w:jc w:val="both"/>
              <w:rPr>
                <w:rFonts w:ascii="Verdana" w:hAnsi="Verdana" w:cs="Arial"/>
                <w:b/>
                <w:sz w:val="20"/>
                <w:szCs w:val="20"/>
              </w:rPr>
            </w:pPr>
            <w:r>
              <w:rPr>
                <w:rFonts w:ascii="Verdana" w:hAnsi="Verdana" w:cs="Arial"/>
                <w:b/>
                <w:sz w:val="20"/>
                <w:szCs w:val="20"/>
              </w:rPr>
              <w:t>4.2. Vigencia de la ley o norma reglamentada</w:t>
            </w:r>
          </w:p>
        </w:tc>
      </w:tr>
      <w:tr w:rsidR="002723EB" w:rsidRPr="002723EB" w:rsidTr="00B615FD">
        <w:tc>
          <w:tcPr>
            <w:tcW w:w="9962" w:type="dxa"/>
            <w:shd w:val="clear" w:color="auto" w:fill="auto"/>
          </w:tcPr>
          <w:p w:rsidR="00B615FD" w:rsidRDefault="00B615FD" w:rsidP="00B615FD">
            <w:pPr>
              <w:jc w:val="both"/>
              <w:rPr>
                <w:rFonts w:ascii="Verdana" w:hAnsi="Verdana" w:cs="Arial"/>
                <w:sz w:val="20"/>
                <w:szCs w:val="20"/>
              </w:rPr>
            </w:pPr>
          </w:p>
          <w:p w:rsidR="002723EB" w:rsidRDefault="00B615FD" w:rsidP="00B615FD">
            <w:pPr>
              <w:jc w:val="both"/>
              <w:rPr>
                <w:rFonts w:ascii="Verdana" w:hAnsi="Verdana" w:cs="Arial"/>
                <w:sz w:val="20"/>
                <w:szCs w:val="20"/>
              </w:rPr>
            </w:pPr>
            <w:r>
              <w:rPr>
                <w:rFonts w:ascii="Verdana" w:hAnsi="Verdana" w:cs="Arial"/>
                <w:sz w:val="20"/>
                <w:szCs w:val="20"/>
              </w:rPr>
              <w:t xml:space="preserve">El artículo </w:t>
            </w:r>
            <w:r w:rsidRPr="00B615FD">
              <w:rPr>
                <w:rFonts w:ascii="Verdana" w:hAnsi="Verdana" w:cs="Arial"/>
                <w:sz w:val="20"/>
                <w:szCs w:val="20"/>
              </w:rPr>
              <w:t>225 de la Ley 1753 de 2015</w:t>
            </w:r>
            <w:r>
              <w:rPr>
                <w:rFonts w:ascii="Verdana" w:hAnsi="Verdana" w:cs="Arial"/>
                <w:sz w:val="20"/>
                <w:szCs w:val="20"/>
              </w:rPr>
              <w:t xml:space="preserve"> se encuentra vigente, así como el </w:t>
            </w:r>
            <w:r w:rsidRPr="00B615FD">
              <w:rPr>
                <w:rFonts w:ascii="Verdana" w:hAnsi="Verdana" w:cs="Arial"/>
                <w:sz w:val="20"/>
                <w:szCs w:val="20"/>
              </w:rPr>
              <w:t>Decreto 1080 de 2015</w:t>
            </w:r>
            <w:r>
              <w:rPr>
                <w:rFonts w:ascii="Verdana" w:hAnsi="Verdana" w:cs="Arial"/>
                <w:sz w:val="20"/>
                <w:szCs w:val="20"/>
              </w:rPr>
              <w:t xml:space="preserve"> que se adiciona mediante la expedición del presente Decreto.</w:t>
            </w:r>
          </w:p>
          <w:p w:rsidR="00B615FD" w:rsidRPr="002723EB" w:rsidRDefault="00B615FD" w:rsidP="00B615FD">
            <w:pPr>
              <w:jc w:val="both"/>
              <w:rPr>
                <w:rFonts w:ascii="Verdana" w:hAnsi="Verdana" w:cs="Arial"/>
                <w:sz w:val="20"/>
                <w:szCs w:val="20"/>
              </w:rPr>
            </w:pPr>
          </w:p>
        </w:tc>
      </w:tr>
      <w:tr w:rsidR="00B615FD" w:rsidRPr="00005E76" w:rsidTr="00B615FD">
        <w:tc>
          <w:tcPr>
            <w:tcW w:w="9962" w:type="dxa"/>
            <w:shd w:val="clear" w:color="auto" w:fill="auto"/>
          </w:tcPr>
          <w:p w:rsidR="00B615FD" w:rsidRPr="00005E76" w:rsidRDefault="00B615FD" w:rsidP="00B615FD">
            <w:pPr>
              <w:jc w:val="both"/>
              <w:rPr>
                <w:rFonts w:ascii="Verdana" w:hAnsi="Verdana" w:cs="Arial"/>
                <w:b/>
                <w:sz w:val="20"/>
                <w:szCs w:val="20"/>
              </w:rPr>
            </w:pPr>
            <w:r>
              <w:rPr>
                <w:rFonts w:ascii="Verdana" w:hAnsi="Verdana" w:cs="Arial"/>
                <w:b/>
                <w:sz w:val="20"/>
                <w:szCs w:val="20"/>
              </w:rPr>
              <w:t>4.3. Dis</w:t>
            </w:r>
            <w:r w:rsidRPr="00B615FD">
              <w:rPr>
                <w:rFonts w:ascii="Verdana" w:hAnsi="Verdana" w:cs="Arial"/>
                <w:b/>
                <w:sz w:val="20"/>
                <w:szCs w:val="20"/>
              </w:rPr>
              <w:t>posiciones derogadas, subrogadas, modificadas, adicionadas o sustituidas</w:t>
            </w:r>
          </w:p>
        </w:tc>
      </w:tr>
      <w:tr w:rsidR="00B615FD" w:rsidRPr="00005E76" w:rsidTr="00B615FD">
        <w:tc>
          <w:tcPr>
            <w:tcW w:w="9962" w:type="dxa"/>
            <w:shd w:val="clear" w:color="auto" w:fill="auto"/>
          </w:tcPr>
          <w:p w:rsidR="00B615FD" w:rsidRDefault="00B615FD" w:rsidP="00B615FD">
            <w:pPr>
              <w:jc w:val="both"/>
              <w:rPr>
                <w:rFonts w:ascii="Verdana" w:hAnsi="Verdana" w:cs="Arial"/>
                <w:b/>
                <w:sz w:val="20"/>
                <w:szCs w:val="20"/>
              </w:rPr>
            </w:pPr>
          </w:p>
          <w:p w:rsidR="00B615FD" w:rsidRDefault="00B615FD" w:rsidP="00B615FD">
            <w:pPr>
              <w:jc w:val="both"/>
              <w:rPr>
                <w:rFonts w:ascii="Verdana" w:hAnsi="Verdana" w:cs="Arial"/>
                <w:sz w:val="20"/>
                <w:szCs w:val="20"/>
              </w:rPr>
            </w:pPr>
            <w:r w:rsidRPr="00B615FD">
              <w:rPr>
                <w:rFonts w:ascii="Verdana" w:hAnsi="Verdana" w:cs="Arial"/>
                <w:sz w:val="20"/>
                <w:szCs w:val="20"/>
              </w:rPr>
              <w:t xml:space="preserve">El Decreto no modifica ni deroga norma alguna vigente de carácter </w:t>
            </w:r>
            <w:r>
              <w:rPr>
                <w:rFonts w:ascii="Verdana" w:hAnsi="Verdana" w:cs="Arial"/>
                <w:sz w:val="20"/>
                <w:szCs w:val="20"/>
              </w:rPr>
              <w:t>reglamentario.</w:t>
            </w:r>
          </w:p>
          <w:p w:rsidR="00B615FD" w:rsidRPr="00B615FD" w:rsidRDefault="00B615FD" w:rsidP="00B615FD">
            <w:pPr>
              <w:jc w:val="both"/>
              <w:rPr>
                <w:rFonts w:ascii="Verdana" w:hAnsi="Verdana" w:cs="Arial"/>
                <w:sz w:val="20"/>
                <w:szCs w:val="20"/>
              </w:rPr>
            </w:pPr>
          </w:p>
        </w:tc>
      </w:tr>
      <w:tr w:rsidR="00B615FD" w:rsidRPr="00005E76" w:rsidTr="00B615FD">
        <w:tc>
          <w:tcPr>
            <w:tcW w:w="9962" w:type="dxa"/>
            <w:shd w:val="clear" w:color="auto" w:fill="auto"/>
          </w:tcPr>
          <w:p w:rsidR="00B615FD" w:rsidRPr="00005E76" w:rsidRDefault="00B615FD" w:rsidP="00B615FD">
            <w:pPr>
              <w:jc w:val="both"/>
              <w:rPr>
                <w:rFonts w:ascii="Verdana" w:hAnsi="Verdana" w:cs="Arial"/>
                <w:b/>
                <w:sz w:val="20"/>
                <w:szCs w:val="20"/>
              </w:rPr>
            </w:pPr>
            <w:r>
              <w:rPr>
                <w:rFonts w:ascii="Verdana" w:hAnsi="Verdana" w:cs="Arial"/>
                <w:b/>
                <w:sz w:val="20"/>
                <w:szCs w:val="20"/>
              </w:rPr>
              <w:t>4.4. D</w:t>
            </w:r>
            <w:r w:rsidRPr="00B615FD">
              <w:rPr>
                <w:rFonts w:ascii="Verdana" w:hAnsi="Verdana" w:cs="Arial"/>
                <w:b/>
                <w:sz w:val="20"/>
                <w:szCs w:val="20"/>
              </w:rPr>
              <w:t>ecisiones judiciales de los órganos de cierre de cada</w:t>
            </w:r>
            <w:r>
              <w:rPr>
                <w:rFonts w:ascii="Verdana" w:hAnsi="Verdana" w:cs="Arial"/>
                <w:b/>
                <w:sz w:val="20"/>
                <w:szCs w:val="20"/>
              </w:rPr>
              <w:t xml:space="preserve"> </w:t>
            </w:r>
            <w:r w:rsidRPr="00B615FD">
              <w:rPr>
                <w:rFonts w:ascii="Verdana" w:hAnsi="Verdana" w:cs="Arial"/>
                <w:b/>
                <w:sz w:val="20"/>
                <w:szCs w:val="20"/>
              </w:rPr>
              <w:t>jurisdicción que pudieran tener impacto o ser relevantes para la expedición del acto</w:t>
            </w:r>
          </w:p>
        </w:tc>
      </w:tr>
      <w:tr w:rsidR="00B615FD" w:rsidRPr="00005E76" w:rsidTr="00B615FD">
        <w:tc>
          <w:tcPr>
            <w:tcW w:w="9962" w:type="dxa"/>
            <w:shd w:val="clear" w:color="auto" w:fill="auto"/>
          </w:tcPr>
          <w:p w:rsidR="00B615FD" w:rsidRDefault="00B615FD" w:rsidP="00B615FD">
            <w:pPr>
              <w:jc w:val="both"/>
              <w:rPr>
                <w:rFonts w:ascii="Verdana" w:hAnsi="Verdana" w:cs="Arial"/>
                <w:b/>
                <w:sz w:val="20"/>
                <w:szCs w:val="20"/>
              </w:rPr>
            </w:pPr>
          </w:p>
          <w:p w:rsidR="00B615FD" w:rsidRPr="00B615FD" w:rsidRDefault="00B615FD" w:rsidP="00B615FD">
            <w:pPr>
              <w:jc w:val="both"/>
              <w:rPr>
                <w:rFonts w:ascii="Verdana" w:hAnsi="Verdana" w:cs="Arial"/>
                <w:sz w:val="20"/>
                <w:szCs w:val="20"/>
              </w:rPr>
            </w:pPr>
            <w:r w:rsidRPr="00B615FD">
              <w:rPr>
                <w:rFonts w:ascii="Verdana" w:hAnsi="Verdana" w:cs="Arial"/>
                <w:sz w:val="20"/>
                <w:szCs w:val="20"/>
              </w:rPr>
              <w:t>No hay pronunciamientos de órganos de cierre que pudieran tener impacto o ser relevantes para la expedición del acto.</w:t>
            </w:r>
          </w:p>
          <w:p w:rsidR="00B615FD" w:rsidRDefault="00B615FD" w:rsidP="00B615FD">
            <w:pPr>
              <w:jc w:val="both"/>
              <w:rPr>
                <w:rFonts w:ascii="Verdana" w:hAnsi="Verdana" w:cs="Arial"/>
                <w:b/>
                <w:sz w:val="20"/>
                <w:szCs w:val="20"/>
              </w:rPr>
            </w:pPr>
          </w:p>
          <w:p w:rsidR="00746D1E" w:rsidRDefault="00746D1E" w:rsidP="00B615FD">
            <w:pPr>
              <w:jc w:val="both"/>
              <w:rPr>
                <w:rFonts w:ascii="Verdana" w:hAnsi="Verdana" w:cs="Arial"/>
                <w:b/>
                <w:sz w:val="20"/>
                <w:szCs w:val="20"/>
              </w:rPr>
            </w:pPr>
          </w:p>
          <w:p w:rsidR="00746D1E" w:rsidRDefault="00746D1E" w:rsidP="00B615FD">
            <w:pPr>
              <w:jc w:val="both"/>
              <w:rPr>
                <w:rFonts w:ascii="Verdana" w:hAnsi="Verdana" w:cs="Arial"/>
                <w:b/>
                <w:sz w:val="20"/>
                <w:szCs w:val="20"/>
              </w:rPr>
            </w:pPr>
          </w:p>
          <w:p w:rsidR="00746D1E" w:rsidRDefault="00746D1E" w:rsidP="00B615FD">
            <w:pPr>
              <w:jc w:val="both"/>
              <w:rPr>
                <w:rFonts w:ascii="Verdana" w:hAnsi="Verdana" w:cs="Arial"/>
                <w:b/>
                <w:sz w:val="20"/>
                <w:szCs w:val="20"/>
              </w:rPr>
            </w:pPr>
          </w:p>
          <w:p w:rsidR="00746D1E" w:rsidRPr="00005E76" w:rsidRDefault="00746D1E" w:rsidP="00B615FD">
            <w:pPr>
              <w:jc w:val="both"/>
              <w:rPr>
                <w:rFonts w:ascii="Verdana" w:hAnsi="Verdana" w:cs="Arial"/>
                <w:b/>
                <w:sz w:val="20"/>
                <w:szCs w:val="20"/>
              </w:rPr>
            </w:pPr>
          </w:p>
        </w:tc>
      </w:tr>
      <w:tr w:rsidR="00B615FD" w:rsidRPr="00005E76" w:rsidTr="00B615FD">
        <w:tc>
          <w:tcPr>
            <w:tcW w:w="9962" w:type="dxa"/>
            <w:shd w:val="clear" w:color="auto" w:fill="F2F2F2" w:themeFill="background1" w:themeFillShade="F2"/>
          </w:tcPr>
          <w:p w:rsidR="00B615FD" w:rsidRPr="00005E76" w:rsidRDefault="00B615FD" w:rsidP="00B615FD">
            <w:pPr>
              <w:numPr>
                <w:ilvl w:val="0"/>
                <w:numId w:val="1"/>
              </w:numPr>
              <w:jc w:val="center"/>
              <w:rPr>
                <w:rFonts w:ascii="Verdana" w:hAnsi="Verdana" w:cs="Arial"/>
                <w:sz w:val="20"/>
                <w:szCs w:val="20"/>
              </w:rPr>
            </w:pPr>
            <w:r w:rsidRPr="00005E76">
              <w:rPr>
                <w:rFonts w:ascii="Verdana" w:hAnsi="Verdana" w:cs="Arial"/>
                <w:b/>
                <w:sz w:val="20"/>
                <w:szCs w:val="20"/>
              </w:rPr>
              <w:lastRenderedPageBreak/>
              <w:t>Consulta previa y publicidad</w:t>
            </w:r>
          </w:p>
        </w:tc>
      </w:tr>
      <w:tr w:rsidR="00B615FD" w:rsidRPr="00005E76" w:rsidTr="00B615FD">
        <w:tc>
          <w:tcPr>
            <w:tcW w:w="9962" w:type="dxa"/>
            <w:shd w:val="clear" w:color="auto" w:fill="auto"/>
          </w:tcPr>
          <w:p w:rsidR="00B615FD" w:rsidRPr="00005E76" w:rsidRDefault="00B615FD" w:rsidP="00B615FD">
            <w:pPr>
              <w:jc w:val="both"/>
              <w:rPr>
                <w:rFonts w:ascii="Verdana" w:hAnsi="Verdana" w:cs="Arial"/>
                <w:sz w:val="20"/>
                <w:szCs w:val="20"/>
              </w:rPr>
            </w:pPr>
            <w:r w:rsidRPr="00005E76">
              <w:rPr>
                <w:rFonts w:ascii="Verdana" w:hAnsi="Verdana" w:cs="Arial"/>
                <w:b/>
                <w:sz w:val="20"/>
                <w:szCs w:val="20"/>
              </w:rPr>
              <w:t>5.1. Consulta Previa</w:t>
            </w:r>
          </w:p>
        </w:tc>
      </w:tr>
      <w:tr w:rsidR="00B615FD" w:rsidRPr="00005E76" w:rsidTr="00B615FD">
        <w:tc>
          <w:tcPr>
            <w:tcW w:w="9962" w:type="dxa"/>
            <w:shd w:val="clear" w:color="auto" w:fill="auto"/>
          </w:tcPr>
          <w:p w:rsidR="00B615FD" w:rsidRPr="00005E76" w:rsidRDefault="00B615FD" w:rsidP="00B615FD">
            <w:pPr>
              <w:jc w:val="both"/>
              <w:rPr>
                <w:rFonts w:ascii="Verdana" w:eastAsiaTheme="minorHAnsi" w:hAnsi="Verdana" w:cs="Verdana"/>
                <w:color w:val="000000"/>
                <w:sz w:val="20"/>
                <w:szCs w:val="20"/>
                <w:lang w:eastAsia="en-US"/>
              </w:rPr>
            </w:pPr>
          </w:p>
          <w:p w:rsidR="00B615FD" w:rsidRPr="00005E76" w:rsidRDefault="00B615FD" w:rsidP="00B615FD">
            <w:pPr>
              <w:jc w:val="both"/>
              <w:rPr>
                <w:rFonts w:ascii="Verdana" w:eastAsiaTheme="minorHAnsi" w:hAnsi="Verdana" w:cs="Verdana"/>
                <w:color w:val="000000"/>
                <w:sz w:val="20"/>
                <w:szCs w:val="20"/>
                <w:lang w:eastAsia="en-US"/>
              </w:rPr>
            </w:pPr>
            <w:r w:rsidRPr="00005E76">
              <w:rPr>
                <w:rFonts w:ascii="Verdana" w:eastAsiaTheme="minorHAnsi" w:hAnsi="Verdana" w:cs="Verdana"/>
                <w:color w:val="000000"/>
                <w:sz w:val="20"/>
                <w:szCs w:val="20"/>
                <w:lang w:eastAsia="en-US"/>
              </w:rPr>
              <w:t xml:space="preserve">El proyecto de Decreto no es una decisión administrativa sujeta a las condiciones de la Ley 21 de 1991 en materia de consulta previa. </w:t>
            </w:r>
          </w:p>
          <w:p w:rsidR="00B615FD" w:rsidRPr="00005E76" w:rsidRDefault="00B615FD" w:rsidP="00B615FD">
            <w:pPr>
              <w:jc w:val="both"/>
              <w:rPr>
                <w:rFonts w:ascii="Verdana" w:hAnsi="Verdana" w:cs="Arial"/>
                <w:sz w:val="20"/>
                <w:szCs w:val="20"/>
              </w:rPr>
            </w:pPr>
          </w:p>
        </w:tc>
      </w:tr>
      <w:tr w:rsidR="00B615FD" w:rsidRPr="00005E76" w:rsidTr="00B615FD">
        <w:tc>
          <w:tcPr>
            <w:tcW w:w="9962" w:type="dxa"/>
            <w:shd w:val="clear" w:color="auto" w:fill="auto"/>
          </w:tcPr>
          <w:p w:rsidR="00B615FD" w:rsidRPr="00005E76" w:rsidRDefault="00B615FD" w:rsidP="00B615FD">
            <w:pPr>
              <w:jc w:val="both"/>
              <w:rPr>
                <w:rFonts w:ascii="Verdana" w:hAnsi="Verdana" w:cs="Arial"/>
                <w:sz w:val="20"/>
                <w:szCs w:val="20"/>
              </w:rPr>
            </w:pPr>
            <w:r w:rsidRPr="00005E76">
              <w:rPr>
                <w:rFonts w:ascii="Verdana" w:hAnsi="Verdana" w:cs="Arial"/>
                <w:b/>
                <w:sz w:val="20"/>
                <w:szCs w:val="20"/>
              </w:rPr>
              <w:t>5.2. Publicidad</w:t>
            </w:r>
          </w:p>
        </w:tc>
      </w:tr>
      <w:tr w:rsidR="00B615FD" w:rsidRPr="00005E76" w:rsidTr="00B615FD">
        <w:tc>
          <w:tcPr>
            <w:tcW w:w="9962" w:type="dxa"/>
            <w:shd w:val="clear" w:color="auto" w:fill="auto"/>
          </w:tcPr>
          <w:p w:rsidR="00B615FD" w:rsidRPr="00005E76" w:rsidRDefault="00B615FD" w:rsidP="00B615FD">
            <w:pPr>
              <w:pStyle w:val="Default"/>
              <w:jc w:val="both"/>
              <w:rPr>
                <w:sz w:val="20"/>
                <w:szCs w:val="20"/>
              </w:rPr>
            </w:pPr>
          </w:p>
          <w:p w:rsidR="00B615FD" w:rsidRDefault="00B615FD" w:rsidP="00B615FD">
            <w:pPr>
              <w:jc w:val="both"/>
              <w:rPr>
                <w:rFonts w:ascii="Verdana" w:eastAsiaTheme="minorHAnsi" w:hAnsi="Verdana" w:cs="Verdana"/>
                <w:color w:val="000000"/>
                <w:sz w:val="20"/>
                <w:szCs w:val="20"/>
                <w:lang w:eastAsia="en-US"/>
              </w:rPr>
            </w:pPr>
            <w:r w:rsidRPr="00005E76">
              <w:rPr>
                <w:rFonts w:ascii="Verdana" w:eastAsiaTheme="minorHAnsi" w:hAnsi="Verdana" w:cs="Verdana"/>
                <w:color w:val="000000"/>
                <w:sz w:val="20"/>
                <w:szCs w:val="20"/>
                <w:lang w:eastAsia="en-US"/>
              </w:rPr>
              <w:t>Se anexa constancia de publicación</w:t>
            </w:r>
            <w:r w:rsidR="006F7417">
              <w:rPr>
                <w:rFonts w:ascii="Verdana" w:eastAsiaTheme="minorHAnsi" w:hAnsi="Verdana" w:cs="Verdana"/>
                <w:color w:val="000000"/>
                <w:sz w:val="20"/>
                <w:szCs w:val="20"/>
                <w:lang w:eastAsia="en-US"/>
              </w:rPr>
              <w:t xml:space="preserve"> del proyecto de Decreto en la página web del Ministerio de Cultura</w:t>
            </w:r>
            <w:r w:rsidRPr="00005E76">
              <w:rPr>
                <w:rFonts w:ascii="Verdana" w:eastAsiaTheme="minorHAnsi" w:hAnsi="Verdana" w:cs="Verdana"/>
                <w:color w:val="000000"/>
                <w:sz w:val="20"/>
                <w:szCs w:val="20"/>
                <w:lang w:eastAsia="en-US"/>
              </w:rPr>
              <w:t xml:space="preserve">. </w:t>
            </w:r>
          </w:p>
          <w:p w:rsidR="00B615FD" w:rsidRDefault="00B615FD" w:rsidP="00B615FD">
            <w:pPr>
              <w:jc w:val="both"/>
              <w:rPr>
                <w:rFonts w:ascii="Verdana" w:eastAsiaTheme="minorHAnsi" w:hAnsi="Verdana" w:cs="Verdana"/>
                <w:color w:val="000000"/>
                <w:sz w:val="20"/>
                <w:szCs w:val="20"/>
                <w:lang w:eastAsia="en-US"/>
              </w:rPr>
            </w:pPr>
          </w:p>
          <w:p w:rsidR="00B615FD" w:rsidRPr="00005E76" w:rsidRDefault="00B615FD" w:rsidP="006F7417">
            <w:pPr>
              <w:jc w:val="both"/>
              <w:rPr>
                <w:rFonts w:ascii="Verdana" w:hAnsi="Verdana" w:cs="Arial"/>
                <w:sz w:val="20"/>
                <w:szCs w:val="20"/>
              </w:rPr>
            </w:pPr>
          </w:p>
        </w:tc>
      </w:tr>
      <w:tr w:rsidR="006F7417" w:rsidRPr="00005E76" w:rsidTr="006F7417">
        <w:tc>
          <w:tcPr>
            <w:tcW w:w="9962" w:type="dxa"/>
            <w:shd w:val="clear" w:color="auto" w:fill="auto"/>
          </w:tcPr>
          <w:p w:rsidR="006F7417" w:rsidRPr="00005E76" w:rsidRDefault="006F7417" w:rsidP="006F7417">
            <w:pPr>
              <w:jc w:val="both"/>
              <w:rPr>
                <w:rFonts w:ascii="Verdana" w:hAnsi="Verdana" w:cs="Arial"/>
                <w:b/>
                <w:sz w:val="20"/>
                <w:szCs w:val="20"/>
              </w:rPr>
            </w:pPr>
            <w:r>
              <w:rPr>
                <w:rFonts w:ascii="Verdana" w:hAnsi="Verdana" w:cs="Arial"/>
                <w:b/>
                <w:sz w:val="20"/>
                <w:szCs w:val="20"/>
              </w:rPr>
              <w:t>5.2.1. M</w:t>
            </w:r>
            <w:r w:rsidRPr="006F7417">
              <w:rPr>
                <w:rFonts w:ascii="Verdana" w:hAnsi="Verdana" w:cs="Arial"/>
                <w:b/>
                <w:sz w:val="20"/>
                <w:szCs w:val="20"/>
              </w:rPr>
              <w:t>atriz con el resumen de las observaciones y comentarios de los</w:t>
            </w:r>
            <w:r>
              <w:rPr>
                <w:rFonts w:ascii="Verdana" w:hAnsi="Verdana" w:cs="Arial"/>
                <w:b/>
                <w:sz w:val="20"/>
                <w:szCs w:val="20"/>
              </w:rPr>
              <w:t xml:space="preserve"> </w:t>
            </w:r>
            <w:r w:rsidRPr="006F7417">
              <w:rPr>
                <w:rFonts w:ascii="Verdana" w:hAnsi="Verdana" w:cs="Arial"/>
                <w:b/>
                <w:sz w:val="20"/>
                <w:szCs w:val="20"/>
              </w:rPr>
              <w:t>ciudadanos y grupos de interés al proyecto específico de regulación</w:t>
            </w:r>
          </w:p>
        </w:tc>
      </w:tr>
      <w:tr w:rsidR="006F7417" w:rsidRPr="00005E76" w:rsidTr="006F7417">
        <w:tc>
          <w:tcPr>
            <w:tcW w:w="9962" w:type="dxa"/>
            <w:shd w:val="clear" w:color="auto" w:fill="auto"/>
          </w:tcPr>
          <w:p w:rsidR="006F7417" w:rsidRDefault="006F7417" w:rsidP="006F7417">
            <w:pPr>
              <w:jc w:val="both"/>
              <w:rPr>
                <w:rFonts w:ascii="Verdana" w:eastAsiaTheme="minorHAnsi" w:hAnsi="Verdana" w:cs="Verdana"/>
                <w:color w:val="000000"/>
                <w:sz w:val="20"/>
                <w:szCs w:val="20"/>
                <w:lang w:eastAsia="en-US"/>
              </w:rPr>
            </w:pPr>
          </w:p>
          <w:p w:rsidR="006F7417" w:rsidRPr="00005E76" w:rsidRDefault="006F7417" w:rsidP="006F7417">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Teniendo en cuenta que durante el periodo de publicación no se recibieron observaciones o comentarios de ciudadanos y grupos de interés, no se presenta la matriz con el resumen de los mismos.</w:t>
            </w:r>
          </w:p>
          <w:p w:rsidR="006F7417" w:rsidRPr="00005E76" w:rsidRDefault="006F7417" w:rsidP="006F7417">
            <w:pPr>
              <w:ind w:left="360"/>
              <w:jc w:val="both"/>
              <w:rPr>
                <w:rFonts w:ascii="Verdana" w:hAnsi="Verdana" w:cs="Arial"/>
                <w:b/>
                <w:sz w:val="20"/>
                <w:szCs w:val="20"/>
              </w:rPr>
            </w:pPr>
          </w:p>
        </w:tc>
      </w:tr>
      <w:tr w:rsidR="006F7417" w:rsidRPr="00005E76" w:rsidTr="006F7417">
        <w:tc>
          <w:tcPr>
            <w:tcW w:w="9962" w:type="dxa"/>
            <w:shd w:val="clear" w:color="auto" w:fill="auto"/>
          </w:tcPr>
          <w:p w:rsidR="006F7417" w:rsidRPr="00005E76" w:rsidRDefault="006F7417" w:rsidP="006F7417">
            <w:pPr>
              <w:jc w:val="both"/>
              <w:rPr>
                <w:rFonts w:ascii="Verdana" w:hAnsi="Verdana" w:cs="Arial"/>
                <w:b/>
                <w:sz w:val="20"/>
                <w:szCs w:val="20"/>
              </w:rPr>
            </w:pPr>
            <w:r>
              <w:rPr>
                <w:rFonts w:ascii="Verdana" w:hAnsi="Verdana" w:cs="Arial"/>
                <w:b/>
                <w:sz w:val="20"/>
                <w:szCs w:val="20"/>
              </w:rPr>
              <w:t xml:space="preserve">5.2.2. </w:t>
            </w:r>
            <w:r w:rsidRPr="006F7417">
              <w:rPr>
                <w:rFonts w:ascii="Verdana" w:hAnsi="Verdana" w:cs="Arial"/>
                <w:b/>
                <w:sz w:val="20"/>
                <w:szCs w:val="20"/>
              </w:rPr>
              <w:t>Informe Global con la evaluación, por categorías, de las observaciones y</w:t>
            </w:r>
            <w:r>
              <w:rPr>
                <w:rFonts w:ascii="Verdana" w:hAnsi="Verdana" w:cs="Arial"/>
                <w:b/>
                <w:sz w:val="20"/>
                <w:szCs w:val="20"/>
              </w:rPr>
              <w:t xml:space="preserve"> </w:t>
            </w:r>
            <w:r w:rsidRPr="006F7417">
              <w:rPr>
                <w:rFonts w:ascii="Verdana" w:hAnsi="Verdana" w:cs="Arial"/>
                <w:b/>
                <w:sz w:val="20"/>
                <w:szCs w:val="20"/>
              </w:rPr>
              <w:t>comentarios de los ciudadanos y grupos de interés</w:t>
            </w:r>
          </w:p>
        </w:tc>
      </w:tr>
      <w:tr w:rsidR="006F7417" w:rsidRPr="00005E76" w:rsidTr="006F7417">
        <w:tc>
          <w:tcPr>
            <w:tcW w:w="9962" w:type="dxa"/>
            <w:shd w:val="clear" w:color="auto" w:fill="auto"/>
          </w:tcPr>
          <w:p w:rsidR="006F7417" w:rsidRDefault="006F7417" w:rsidP="006F7417">
            <w:pPr>
              <w:jc w:val="both"/>
              <w:rPr>
                <w:rFonts w:ascii="Verdana" w:eastAsiaTheme="minorHAnsi" w:hAnsi="Verdana" w:cs="Verdana"/>
                <w:color w:val="000000"/>
                <w:sz w:val="20"/>
                <w:szCs w:val="20"/>
                <w:lang w:eastAsia="en-US"/>
              </w:rPr>
            </w:pPr>
          </w:p>
          <w:p w:rsidR="006F7417" w:rsidRPr="00005E76" w:rsidRDefault="006F7417" w:rsidP="006F7417">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Teniendo en cuenta que durante el periodo de publicación no se recibieron observaciones o comentarios de ciudadanos y grupos de interés, no se presenta el informe global de evaluación de los mismos.</w:t>
            </w:r>
          </w:p>
          <w:p w:rsidR="006F7417" w:rsidRPr="00005E76" w:rsidRDefault="006F7417" w:rsidP="006F7417">
            <w:pPr>
              <w:ind w:left="360"/>
              <w:jc w:val="both"/>
              <w:rPr>
                <w:rFonts w:ascii="Verdana" w:hAnsi="Verdana" w:cs="Arial"/>
                <w:b/>
                <w:sz w:val="20"/>
                <w:szCs w:val="20"/>
              </w:rPr>
            </w:pPr>
          </w:p>
        </w:tc>
      </w:tr>
      <w:tr w:rsidR="00B615FD" w:rsidRPr="00005E76" w:rsidTr="00B615FD">
        <w:tc>
          <w:tcPr>
            <w:tcW w:w="9962" w:type="dxa"/>
            <w:shd w:val="clear" w:color="auto" w:fill="F2F2F2" w:themeFill="background1" w:themeFillShade="F2"/>
          </w:tcPr>
          <w:p w:rsidR="00B615FD" w:rsidRPr="00005E76" w:rsidRDefault="00B615FD" w:rsidP="00B615FD">
            <w:pPr>
              <w:numPr>
                <w:ilvl w:val="0"/>
                <w:numId w:val="1"/>
              </w:numPr>
              <w:jc w:val="center"/>
              <w:rPr>
                <w:rFonts w:ascii="Verdana" w:hAnsi="Verdana" w:cs="Arial"/>
                <w:b/>
                <w:sz w:val="20"/>
                <w:szCs w:val="20"/>
              </w:rPr>
            </w:pPr>
            <w:r w:rsidRPr="00005E76">
              <w:rPr>
                <w:rFonts w:ascii="Verdana" w:hAnsi="Verdana" w:cs="Arial"/>
                <w:b/>
                <w:sz w:val="20"/>
                <w:szCs w:val="20"/>
              </w:rPr>
              <w:t>Coordinación</w:t>
            </w:r>
          </w:p>
        </w:tc>
      </w:tr>
      <w:tr w:rsidR="00B615FD" w:rsidRPr="00005E76" w:rsidTr="00B615FD">
        <w:tc>
          <w:tcPr>
            <w:tcW w:w="9962" w:type="dxa"/>
            <w:shd w:val="clear" w:color="auto" w:fill="auto"/>
          </w:tcPr>
          <w:p w:rsidR="00B615FD" w:rsidRPr="00005E76" w:rsidRDefault="00B615FD" w:rsidP="00B615FD">
            <w:pPr>
              <w:jc w:val="both"/>
              <w:rPr>
                <w:rFonts w:ascii="Verdana" w:eastAsiaTheme="minorHAnsi" w:hAnsi="Verdana" w:cs="Verdana"/>
                <w:color w:val="000000"/>
                <w:sz w:val="20"/>
                <w:szCs w:val="20"/>
                <w:lang w:eastAsia="en-US"/>
              </w:rPr>
            </w:pPr>
          </w:p>
          <w:p w:rsidR="00B615FD" w:rsidRPr="00005E76" w:rsidRDefault="00B615FD" w:rsidP="00B615FD">
            <w:pPr>
              <w:jc w:val="both"/>
              <w:rPr>
                <w:rFonts w:ascii="Verdana" w:hAnsi="Verdana"/>
                <w:sz w:val="20"/>
                <w:szCs w:val="20"/>
              </w:rPr>
            </w:pPr>
            <w:r w:rsidRPr="00005E76">
              <w:rPr>
                <w:rFonts w:ascii="Verdana" w:eastAsiaTheme="minorHAnsi" w:hAnsi="Verdana" w:cs="Verdana"/>
                <w:color w:val="000000"/>
                <w:sz w:val="20"/>
                <w:szCs w:val="20"/>
                <w:lang w:eastAsia="en-US"/>
              </w:rPr>
              <w:t xml:space="preserve">El proyecto de Decreto comprende </w:t>
            </w:r>
            <w:r>
              <w:rPr>
                <w:rFonts w:ascii="Verdana" w:eastAsiaTheme="minorHAnsi" w:hAnsi="Verdana" w:cs="Verdana"/>
                <w:color w:val="000000"/>
                <w:sz w:val="20"/>
                <w:szCs w:val="20"/>
                <w:lang w:eastAsia="en-US"/>
              </w:rPr>
              <w:t xml:space="preserve">al sector de Hacienda Pública por lo cual tendrá suscripción conjunta. </w:t>
            </w:r>
          </w:p>
          <w:p w:rsidR="00B615FD" w:rsidRPr="00005E76" w:rsidRDefault="00B615FD" w:rsidP="00B615FD">
            <w:pPr>
              <w:jc w:val="both"/>
              <w:rPr>
                <w:rFonts w:ascii="Verdana" w:hAnsi="Verdana" w:cs="Verdana"/>
                <w:sz w:val="20"/>
                <w:szCs w:val="20"/>
              </w:rPr>
            </w:pPr>
          </w:p>
        </w:tc>
      </w:tr>
      <w:tr w:rsidR="00B615FD" w:rsidRPr="00005E76" w:rsidTr="00B615FD">
        <w:tc>
          <w:tcPr>
            <w:tcW w:w="9962" w:type="dxa"/>
            <w:shd w:val="clear" w:color="auto" w:fill="F2F2F2" w:themeFill="background1" w:themeFillShade="F2"/>
          </w:tcPr>
          <w:p w:rsidR="00B615FD" w:rsidRPr="00005E76" w:rsidRDefault="00B615FD" w:rsidP="00B615FD">
            <w:pPr>
              <w:numPr>
                <w:ilvl w:val="0"/>
                <w:numId w:val="1"/>
              </w:numPr>
              <w:jc w:val="center"/>
              <w:rPr>
                <w:rFonts w:ascii="Verdana" w:hAnsi="Verdana" w:cs="Arial"/>
                <w:sz w:val="20"/>
                <w:szCs w:val="20"/>
              </w:rPr>
            </w:pPr>
            <w:r w:rsidRPr="00005E76">
              <w:rPr>
                <w:rFonts w:ascii="Verdana" w:hAnsi="Verdana" w:cs="Arial"/>
                <w:b/>
                <w:sz w:val="20"/>
                <w:szCs w:val="20"/>
              </w:rPr>
              <w:t>Otros</w:t>
            </w:r>
          </w:p>
        </w:tc>
      </w:tr>
      <w:tr w:rsidR="00B615FD" w:rsidRPr="00005E76" w:rsidTr="00B615FD">
        <w:tc>
          <w:tcPr>
            <w:tcW w:w="9962" w:type="dxa"/>
            <w:shd w:val="clear" w:color="auto" w:fill="auto"/>
          </w:tcPr>
          <w:p w:rsidR="00B615FD" w:rsidRDefault="00B615FD" w:rsidP="00B615FD">
            <w:pPr>
              <w:tabs>
                <w:tab w:val="left" w:pos="1141"/>
              </w:tabs>
              <w:jc w:val="both"/>
              <w:rPr>
                <w:rFonts w:ascii="Verdana" w:hAnsi="Verdana" w:cs="Arial"/>
                <w:sz w:val="20"/>
                <w:szCs w:val="20"/>
              </w:rPr>
            </w:pPr>
          </w:p>
          <w:p w:rsidR="00B615FD" w:rsidRPr="00746D1E" w:rsidRDefault="00B615FD" w:rsidP="00B615FD">
            <w:pPr>
              <w:tabs>
                <w:tab w:val="left" w:pos="1141"/>
              </w:tabs>
              <w:jc w:val="both"/>
              <w:rPr>
                <w:rFonts w:ascii="Verdana" w:eastAsiaTheme="minorHAnsi" w:hAnsi="Verdana" w:cs="Verdana"/>
                <w:color w:val="000000"/>
                <w:sz w:val="20"/>
                <w:szCs w:val="20"/>
                <w:lang w:eastAsia="en-US"/>
              </w:rPr>
            </w:pPr>
            <w:r w:rsidRPr="00005E76">
              <w:rPr>
                <w:rFonts w:ascii="Verdana" w:eastAsiaTheme="minorHAnsi" w:hAnsi="Verdana" w:cs="Verdana"/>
                <w:color w:val="000000"/>
                <w:sz w:val="20"/>
                <w:szCs w:val="20"/>
                <w:lang w:eastAsia="en-US"/>
              </w:rPr>
              <w:t xml:space="preserve">El Decreto no incide sobre la libre competencia, por lo que no se diligencia el anexo 1 – relacionado con el </w:t>
            </w:r>
            <w:r w:rsidRPr="00746D1E">
              <w:rPr>
                <w:rFonts w:ascii="Verdana" w:eastAsiaTheme="minorHAnsi" w:hAnsi="Verdana" w:cs="Verdana"/>
                <w:color w:val="000000"/>
                <w:sz w:val="20"/>
                <w:szCs w:val="20"/>
                <w:lang w:eastAsia="en-US"/>
              </w:rPr>
              <w:t xml:space="preserve">Cuestionario de la Superintendencia de Industria y Comercio de acuerdo con lo establecido en la Resolución 44649 de 2010. </w:t>
            </w:r>
          </w:p>
          <w:p w:rsidR="006F7417" w:rsidRPr="00746D1E" w:rsidRDefault="006F7417" w:rsidP="00B615FD">
            <w:pPr>
              <w:tabs>
                <w:tab w:val="left" w:pos="1141"/>
              </w:tabs>
              <w:jc w:val="both"/>
              <w:rPr>
                <w:rFonts w:ascii="Verdana" w:eastAsiaTheme="minorHAnsi" w:hAnsi="Verdana" w:cs="Verdana"/>
                <w:color w:val="000000"/>
                <w:sz w:val="20"/>
                <w:szCs w:val="20"/>
                <w:lang w:eastAsia="en-US"/>
              </w:rPr>
            </w:pPr>
          </w:p>
          <w:p w:rsidR="006F7417" w:rsidRDefault="006F7417" w:rsidP="006F7417">
            <w:pPr>
              <w:tabs>
                <w:tab w:val="left" w:pos="1141"/>
              </w:tabs>
              <w:jc w:val="both"/>
              <w:rPr>
                <w:rFonts w:ascii="Verdana" w:eastAsiaTheme="minorHAnsi" w:hAnsi="Verdana" w:cs="Verdana"/>
                <w:color w:val="000000"/>
                <w:sz w:val="20"/>
                <w:szCs w:val="20"/>
                <w:lang w:eastAsia="en-US"/>
              </w:rPr>
            </w:pPr>
            <w:r w:rsidRPr="00746D1E">
              <w:rPr>
                <w:rFonts w:ascii="Verdana" w:eastAsiaTheme="minorHAnsi" w:hAnsi="Verdana" w:cs="Verdana"/>
                <w:color w:val="000000"/>
                <w:sz w:val="20"/>
                <w:szCs w:val="20"/>
                <w:lang w:eastAsia="en-US"/>
              </w:rPr>
              <w:t>El Decreto no crea o modifica un trámite, por lo que no debe adjuntarse el concepto del Departamento Administrativo de la Función Pública de que trata el artículo 2.1.2.1.11 del Decreto 1081 de 2015.</w:t>
            </w:r>
          </w:p>
          <w:p w:rsidR="00B615FD" w:rsidRPr="00005E76" w:rsidRDefault="006F7417" w:rsidP="006F7417">
            <w:pPr>
              <w:tabs>
                <w:tab w:val="left" w:pos="1141"/>
              </w:tabs>
              <w:jc w:val="both"/>
              <w:rPr>
                <w:rFonts w:ascii="Verdana" w:hAnsi="Verdana" w:cs="Arial"/>
                <w:sz w:val="20"/>
                <w:szCs w:val="20"/>
              </w:rPr>
            </w:pPr>
            <w:r w:rsidRPr="006F7417">
              <w:rPr>
                <w:rFonts w:ascii="Verdana" w:eastAsiaTheme="minorHAnsi" w:hAnsi="Verdana" w:cs="Verdana"/>
                <w:color w:val="000000"/>
                <w:sz w:val="20"/>
                <w:szCs w:val="20"/>
                <w:lang w:eastAsia="en-US"/>
              </w:rPr>
              <w:t xml:space="preserve"> </w:t>
            </w:r>
          </w:p>
        </w:tc>
      </w:tr>
    </w:tbl>
    <w:p w:rsidR="00354FEA" w:rsidRPr="00005E76" w:rsidRDefault="00354FEA" w:rsidP="00354FEA">
      <w:pPr>
        <w:jc w:val="both"/>
        <w:rPr>
          <w:rFonts w:ascii="Verdana" w:hAnsi="Verdana" w:cs="Arial"/>
          <w:sz w:val="20"/>
          <w:szCs w:val="20"/>
        </w:rPr>
      </w:pPr>
    </w:p>
    <w:p w:rsidR="000959FB" w:rsidRPr="00005E76" w:rsidRDefault="000959FB" w:rsidP="00354FEA">
      <w:pPr>
        <w:jc w:val="both"/>
        <w:rPr>
          <w:rFonts w:ascii="Verdana" w:hAnsi="Verdana" w:cs="Arial"/>
          <w:sz w:val="20"/>
          <w:szCs w:val="20"/>
        </w:rPr>
      </w:pPr>
      <w:bookmarkStart w:id="0" w:name="48"/>
      <w:bookmarkEnd w:id="0"/>
    </w:p>
    <w:p w:rsidR="00354FEA" w:rsidRDefault="00354FEA" w:rsidP="00354FEA">
      <w:pPr>
        <w:jc w:val="both"/>
        <w:rPr>
          <w:rFonts w:ascii="Verdana" w:eastAsiaTheme="minorHAnsi" w:hAnsi="Verdana" w:cs="Verdana"/>
          <w:color w:val="000000"/>
          <w:sz w:val="20"/>
          <w:szCs w:val="20"/>
          <w:lang w:eastAsia="en-US"/>
        </w:rPr>
      </w:pPr>
      <w:r w:rsidRPr="00005E76">
        <w:rPr>
          <w:rFonts w:ascii="Verdana" w:eastAsiaTheme="minorHAnsi" w:hAnsi="Verdana" w:cs="Verdana"/>
          <w:color w:val="000000"/>
          <w:sz w:val="20"/>
          <w:szCs w:val="20"/>
          <w:lang w:eastAsia="en-US"/>
        </w:rPr>
        <w:t>Cordialmente,</w:t>
      </w:r>
    </w:p>
    <w:p w:rsidR="00395FAF" w:rsidRDefault="00395FAF" w:rsidP="00354FEA">
      <w:pPr>
        <w:jc w:val="both"/>
        <w:rPr>
          <w:rFonts w:ascii="Verdana" w:eastAsiaTheme="minorHAnsi" w:hAnsi="Verdana" w:cs="Verdana"/>
          <w:color w:val="000000"/>
          <w:sz w:val="20"/>
          <w:szCs w:val="20"/>
          <w:lang w:eastAsia="en-US"/>
        </w:rPr>
      </w:pPr>
    </w:p>
    <w:p w:rsidR="00395FAF" w:rsidRDefault="00395FAF" w:rsidP="00354FEA">
      <w:pPr>
        <w:jc w:val="both"/>
        <w:rPr>
          <w:rFonts w:ascii="Verdana" w:eastAsiaTheme="minorHAnsi" w:hAnsi="Verdana" w:cs="Verdana"/>
          <w:color w:val="000000"/>
          <w:sz w:val="20"/>
          <w:szCs w:val="20"/>
          <w:lang w:eastAsia="en-US"/>
        </w:rPr>
      </w:pPr>
    </w:p>
    <w:p w:rsidR="00395FAF" w:rsidRDefault="00395FAF" w:rsidP="00354FEA">
      <w:pPr>
        <w:jc w:val="both"/>
        <w:rPr>
          <w:rFonts w:ascii="Verdana" w:eastAsiaTheme="minorHAnsi" w:hAnsi="Verdana" w:cs="Verdana"/>
          <w:color w:val="000000"/>
          <w:sz w:val="20"/>
          <w:szCs w:val="20"/>
          <w:lang w:eastAsia="en-US"/>
        </w:rPr>
      </w:pPr>
    </w:p>
    <w:p w:rsidR="00395FAF" w:rsidRDefault="00395FAF" w:rsidP="00354FEA">
      <w:pPr>
        <w:jc w:val="both"/>
        <w:rPr>
          <w:rFonts w:ascii="Verdana" w:eastAsiaTheme="minorHAnsi" w:hAnsi="Verdana" w:cs="Verdana"/>
          <w:color w:val="000000"/>
          <w:sz w:val="20"/>
          <w:szCs w:val="20"/>
          <w:lang w:eastAsia="en-US"/>
        </w:rPr>
      </w:pPr>
    </w:p>
    <w:p w:rsidR="00395FAF" w:rsidRPr="002723AE" w:rsidRDefault="00395FAF" w:rsidP="00354FEA">
      <w:pPr>
        <w:jc w:val="both"/>
        <w:rPr>
          <w:rFonts w:ascii="Verdana" w:eastAsiaTheme="minorHAnsi" w:hAnsi="Verdana" w:cs="Verdana"/>
          <w:b/>
          <w:color w:val="000000"/>
          <w:sz w:val="20"/>
          <w:szCs w:val="20"/>
          <w:lang w:eastAsia="en-US"/>
        </w:rPr>
      </w:pPr>
      <w:r w:rsidRPr="002723AE">
        <w:rPr>
          <w:rFonts w:ascii="Verdana" w:eastAsiaTheme="minorHAnsi" w:hAnsi="Verdana" w:cs="Verdana"/>
          <w:b/>
          <w:color w:val="000000"/>
          <w:sz w:val="20"/>
          <w:szCs w:val="20"/>
          <w:lang w:eastAsia="en-US"/>
        </w:rPr>
        <w:t>JUAN MANUEL VARGAS AYALA</w:t>
      </w:r>
    </w:p>
    <w:p w:rsidR="00395FAF" w:rsidRPr="00005E76" w:rsidRDefault="00395FAF" w:rsidP="00354FEA">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Jefe Oficina Asesora Jurídica</w:t>
      </w:r>
    </w:p>
    <w:p w:rsidR="000753C9" w:rsidRPr="00005E76" w:rsidRDefault="000753C9" w:rsidP="00354FEA">
      <w:pPr>
        <w:jc w:val="both"/>
        <w:rPr>
          <w:rFonts w:ascii="Verdana" w:hAnsi="Verdana"/>
          <w:sz w:val="20"/>
          <w:szCs w:val="20"/>
          <w:lang w:eastAsia="es-CO"/>
        </w:rPr>
      </w:pPr>
      <w:bookmarkStart w:id="1" w:name="_GoBack"/>
      <w:bookmarkEnd w:id="1"/>
    </w:p>
    <w:p w:rsidR="000753C9" w:rsidRPr="00005E76" w:rsidRDefault="000753C9" w:rsidP="00354FEA">
      <w:pPr>
        <w:jc w:val="both"/>
        <w:rPr>
          <w:rFonts w:ascii="Verdana" w:hAnsi="Verdana"/>
          <w:sz w:val="20"/>
          <w:szCs w:val="20"/>
          <w:lang w:eastAsia="es-CO"/>
        </w:rPr>
      </w:pPr>
    </w:p>
    <w:p w:rsidR="00354FEA" w:rsidRPr="00005E76" w:rsidRDefault="00354FEA" w:rsidP="00354FEA">
      <w:pPr>
        <w:jc w:val="both"/>
        <w:rPr>
          <w:rFonts w:ascii="Verdana" w:hAnsi="Verdana"/>
          <w:sz w:val="20"/>
          <w:szCs w:val="20"/>
          <w:lang w:eastAsia="es-CO"/>
        </w:rPr>
      </w:pPr>
    </w:p>
    <w:p w:rsidR="00354FEA" w:rsidRPr="00005E76" w:rsidRDefault="00354FEA" w:rsidP="000959FB">
      <w:pPr>
        <w:jc w:val="both"/>
        <w:rPr>
          <w:rFonts w:ascii="Verdana" w:eastAsiaTheme="minorHAnsi" w:hAnsi="Verdana" w:cs="Verdana"/>
          <w:color w:val="000000"/>
          <w:sz w:val="20"/>
          <w:szCs w:val="20"/>
          <w:lang w:eastAsia="en-US"/>
        </w:rPr>
      </w:pPr>
    </w:p>
    <w:sectPr w:rsidR="00354FEA" w:rsidRPr="00005E76" w:rsidSect="00E070AE">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0D" w:rsidRDefault="00145C0D" w:rsidP="00354FEA">
      <w:r>
        <w:separator/>
      </w:r>
    </w:p>
  </w:endnote>
  <w:endnote w:type="continuationSeparator" w:id="0">
    <w:p w:rsidR="00145C0D" w:rsidRDefault="00145C0D" w:rsidP="0035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39" w:rsidRDefault="00145C0D" w:rsidP="00E070AE">
    <w:pPr>
      <w:pStyle w:val="Piedepgina"/>
      <w:jc w:val="right"/>
      <w:rPr>
        <w:rFonts w:ascii="Arial Narrow" w:hAnsi="Arial Narrow"/>
        <w:color w:val="000000"/>
        <w:sz w:val="14"/>
        <w:szCs w:val="14"/>
      </w:rPr>
    </w:pPr>
  </w:p>
  <w:p w:rsidR="00E070AE" w:rsidRDefault="003D5EE8" w:rsidP="00E070AE">
    <w:pPr>
      <w:pStyle w:val="Piedepgina"/>
      <w:jc w:val="right"/>
    </w:pPr>
    <w:r w:rsidRPr="00E632EB">
      <w:rPr>
        <w:rFonts w:ascii="Arial Narrow" w:hAnsi="Arial Narrow"/>
        <w:color w:val="000000"/>
        <w:sz w:val="14"/>
        <w:szCs w:val="14"/>
      </w:rPr>
      <w:t xml:space="preserve">Página </w:t>
    </w:r>
    <w:r w:rsidRPr="00E632EB">
      <w:rPr>
        <w:rFonts w:ascii="Arial Narrow" w:hAnsi="Arial Narrow"/>
        <w:color w:val="000000"/>
        <w:sz w:val="14"/>
        <w:szCs w:val="14"/>
      </w:rPr>
      <w:fldChar w:fldCharType="begin"/>
    </w:r>
    <w:r w:rsidRPr="00E632EB">
      <w:rPr>
        <w:rFonts w:ascii="Arial Narrow" w:hAnsi="Arial Narrow"/>
        <w:color w:val="000000"/>
        <w:sz w:val="14"/>
        <w:szCs w:val="14"/>
      </w:rPr>
      <w:instrText xml:space="preserve"> PAGE </w:instrText>
    </w:r>
    <w:r w:rsidRPr="00E632EB">
      <w:rPr>
        <w:rFonts w:ascii="Arial Narrow" w:hAnsi="Arial Narrow"/>
        <w:color w:val="000000"/>
        <w:sz w:val="14"/>
        <w:szCs w:val="14"/>
      </w:rPr>
      <w:fldChar w:fldCharType="separate"/>
    </w:r>
    <w:r w:rsidR="00746D1E">
      <w:rPr>
        <w:rFonts w:ascii="Arial Narrow" w:hAnsi="Arial Narrow"/>
        <w:noProof/>
        <w:color w:val="000000"/>
        <w:sz w:val="14"/>
        <w:szCs w:val="14"/>
      </w:rPr>
      <w:t>3</w:t>
    </w:r>
    <w:r w:rsidRPr="00E632EB">
      <w:rPr>
        <w:rFonts w:ascii="Arial Narrow" w:hAnsi="Arial Narrow"/>
        <w:color w:val="000000"/>
        <w:sz w:val="14"/>
        <w:szCs w:val="14"/>
      </w:rPr>
      <w:fldChar w:fldCharType="end"/>
    </w:r>
    <w:r w:rsidRPr="00E632EB">
      <w:rPr>
        <w:rFonts w:ascii="Arial Narrow" w:hAnsi="Arial Narrow"/>
        <w:color w:val="000000"/>
        <w:sz w:val="14"/>
        <w:szCs w:val="14"/>
      </w:rPr>
      <w:t xml:space="preserve"> de </w:t>
    </w:r>
    <w:r w:rsidRPr="00E632EB">
      <w:rPr>
        <w:rFonts w:ascii="Arial Narrow" w:hAnsi="Arial Narrow"/>
        <w:color w:val="000000"/>
        <w:sz w:val="14"/>
        <w:szCs w:val="14"/>
      </w:rPr>
      <w:fldChar w:fldCharType="begin"/>
    </w:r>
    <w:r w:rsidRPr="00E632EB">
      <w:rPr>
        <w:rFonts w:ascii="Arial Narrow" w:hAnsi="Arial Narrow"/>
        <w:color w:val="000000"/>
        <w:sz w:val="14"/>
        <w:szCs w:val="14"/>
      </w:rPr>
      <w:instrText xml:space="preserve"> NUMPAGES </w:instrText>
    </w:r>
    <w:r w:rsidRPr="00E632EB">
      <w:rPr>
        <w:rFonts w:ascii="Arial Narrow" w:hAnsi="Arial Narrow"/>
        <w:color w:val="000000"/>
        <w:sz w:val="14"/>
        <w:szCs w:val="14"/>
      </w:rPr>
      <w:fldChar w:fldCharType="separate"/>
    </w:r>
    <w:r w:rsidR="00746D1E">
      <w:rPr>
        <w:rFonts w:ascii="Arial Narrow" w:hAnsi="Arial Narrow"/>
        <w:noProof/>
        <w:color w:val="000000"/>
        <w:sz w:val="14"/>
        <w:szCs w:val="14"/>
      </w:rPr>
      <w:t>4</w:t>
    </w:r>
    <w:r w:rsidRPr="00E632EB">
      <w:rPr>
        <w:rFonts w:ascii="Arial Narrow" w:hAnsi="Arial Narrow"/>
        <w:color w:val="000000"/>
        <w:sz w:val="14"/>
        <w:szCs w:val="14"/>
      </w:rPr>
      <w:fldChar w:fldCharType="end"/>
    </w:r>
  </w:p>
  <w:p w:rsidR="006F3A0D" w:rsidRDefault="00145C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0D" w:rsidRDefault="00145C0D" w:rsidP="00354FEA">
      <w:r>
        <w:separator/>
      </w:r>
    </w:p>
  </w:footnote>
  <w:footnote w:type="continuationSeparator" w:id="0">
    <w:p w:rsidR="00145C0D" w:rsidRDefault="00145C0D" w:rsidP="00354FEA">
      <w:r>
        <w:continuationSeparator/>
      </w:r>
    </w:p>
  </w:footnote>
  <w:footnote w:id="1">
    <w:p w:rsidR="00354FEA" w:rsidRPr="009F0348" w:rsidRDefault="00354FEA" w:rsidP="007A12BA">
      <w:pPr>
        <w:pStyle w:val="Textonotapie"/>
        <w:jc w:val="both"/>
        <w:rPr>
          <w:rFonts w:ascii="Verdana" w:hAnsi="Verdana"/>
        </w:rPr>
      </w:pPr>
      <w:r w:rsidRPr="009F0348">
        <w:rPr>
          <w:rStyle w:val="Refdenotaalpie"/>
          <w:rFonts w:ascii="Verdana" w:hAnsi="Verdana"/>
          <w:sz w:val="18"/>
        </w:rPr>
        <w:footnoteRef/>
      </w:r>
      <w:r w:rsidRPr="009F0348">
        <w:rPr>
          <w:rFonts w:ascii="Verdana" w:hAnsi="Verdana"/>
          <w:sz w:val="18"/>
        </w:rPr>
        <w:t xml:space="preserve"> El contenido de este documento incluye los requerimientos de la etapa previa, de que trata el Anexo </w:t>
      </w:r>
      <w:r w:rsidR="002723AE">
        <w:rPr>
          <w:rFonts w:ascii="Verdana" w:hAnsi="Verdana"/>
          <w:sz w:val="18"/>
        </w:rPr>
        <w:t>A</w:t>
      </w:r>
      <w:r w:rsidRPr="009F0348">
        <w:rPr>
          <w:rFonts w:ascii="Verdana" w:hAnsi="Verdana"/>
          <w:sz w:val="18"/>
        </w:rPr>
        <w:t xml:space="preserve"> que hace referencia el Decreto 1081 de 2015, en lo relacionado con las directrices generales de técnica normativa.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05729"/>
    <w:multiLevelType w:val="hybridMultilevel"/>
    <w:tmpl w:val="63C86F3E"/>
    <w:lvl w:ilvl="0" w:tplc="1D64FB60">
      <w:start w:val="1"/>
      <w:numFmt w:val="decimal"/>
      <w:lvlText w:val="%1."/>
      <w:lvlJc w:val="left"/>
      <w:pPr>
        <w:ind w:left="360" w:hanging="360"/>
      </w:pPr>
      <w:rPr>
        <w:rFonts w:cs="Times New Roman" w:hint="default"/>
        <w:b/>
      </w:rPr>
    </w:lvl>
    <w:lvl w:ilvl="1" w:tplc="09602638">
      <w:start w:val="1"/>
      <w:numFmt w:val="upperRoman"/>
      <w:lvlText w:val="%2."/>
      <w:lvlJc w:val="right"/>
      <w:pPr>
        <w:ind w:left="1080" w:hanging="360"/>
      </w:pPr>
      <w:rPr>
        <w:b/>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15:restartNumberingAfterBreak="0">
    <w:nsid w:val="5E274AD2"/>
    <w:multiLevelType w:val="hybridMultilevel"/>
    <w:tmpl w:val="25884C5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EA"/>
    <w:rsid w:val="00005E76"/>
    <w:rsid w:val="0003784A"/>
    <w:rsid w:val="000753C9"/>
    <w:rsid w:val="000959FB"/>
    <w:rsid w:val="000B3B98"/>
    <w:rsid w:val="00145C0D"/>
    <w:rsid w:val="001725F8"/>
    <w:rsid w:val="00221F0B"/>
    <w:rsid w:val="002372E1"/>
    <w:rsid w:val="002723AE"/>
    <w:rsid w:val="002723EB"/>
    <w:rsid w:val="00285EE6"/>
    <w:rsid w:val="002E5AC1"/>
    <w:rsid w:val="00320F8D"/>
    <w:rsid w:val="00354FEA"/>
    <w:rsid w:val="0038132E"/>
    <w:rsid w:val="00395FAF"/>
    <w:rsid w:val="00397AC7"/>
    <w:rsid w:val="003B514F"/>
    <w:rsid w:val="003D5EE8"/>
    <w:rsid w:val="004D752F"/>
    <w:rsid w:val="004E2C41"/>
    <w:rsid w:val="00520117"/>
    <w:rsid w:val="00553CFB"/>
    <w:rsid w:val="005A4079"/>
    <w:rsid w:val="005B51F4"/>
    <w:rsid w:val="00625AD7"/>
    <w:rsid w:val="00661D31"/>
    <w:rsid w:val="00695F5C"/>
    <w:rsid w:val="006F5868"/>
    <w:rsid w:val="006F7417"/>
    <w:rsid w:val="00712D98"/>
    <w:rsid w:val="00746D1E"/>
    <w:rsid w:val="007A12BA"/>
    <w:rsid w:val="007C7FC3"/>
    <w:rsid w:val="007E0ABA"/>
    <w:rsid w:val="007F6B38"/>
    <w:rsid w:val="00832788"/>
    <w:rsid w:val="00853FB3"/>
    <w:rsid w:val="008548D1"/>
    <w:rsid w:val="008B3DA5"/>
    <w:rsid w:val="008D3229"/>
    <w:rsid w:val="00912177"/>
    <w:rsid w:val="009C02FD"/>
    <w:rsid w:val="009F0348"/>
    <w:rsid w:val="00A00303"/>
    <w:rsid w:val="00AC565F"/>
    <w:rsid w:val="00B615FD"/>
    <w:rsid w:val="00B64061"/>
    <w:rsid w:val="00C17BA2"/>
    <w:rsid w:val="00C47754"/>
    <w:rsid w:val="00D62FF6"/>
    <w:rsid w:val="00DC0748"/>
    <w:rsid w:val="00DE4C07"/>
    <w:rsid w:val="00E375DD"/>
    <w:rsid w:val="00ED4014"/>
    <w:rsid w:val="00F37DA3"/>
    <w:rsid w:val="00FB652F"/>
    <w:rsid w:val="00FE41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BD240-53C8-4871-8CE4-982CA8A1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E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encabezado,Encabezado Car Car Car Car Car,Encabezado Car Car Car"/>
    <w:basedOn w:val="Normal"/>
    <w:link w:val="EncabezadoCar"/>
    <w:uiPriority w:val="99"/>
    <w:unhideWhenUsed/>
    <w:rsid w:val="00354FEA"/>
    <w:pPr>
      <w:tabs>
        <w:tab w:val="center" w:pos="4419"/>
        <w:tab w:val="right" w:pos="8838"/>
      </w:tabs>
    </w:pPr>
    <w:rPr>
      <w:rFonts w:ascii="Calibri" w:eastAsia="Calibri" w:hAnsi="Calibri"/>
      <w:sz w:val="22"/>
      <w:szCs w:val="22"/>
      <w:lang w:eastAsia="en-US"/>
    </w:rPr>
  </w:style>
  <w:style w:type="character" w:customStyle="1" w:styleId="EncabezadoCar">
    <w:name w:val="Encabezado Car"/>
    <w:aliases w:val="Encabezado1 Car,encabezado Car,Encabezado Car Car Car Car Car Car,Encabezado Car Car Car Car"/>
    <w:basedOn w:val="Fuentedeprrafopredeter"/>
    <w:link w:val="Encabezado"/>
    <w:uiPriority w:val="99"/>
    <w:rsid w:val="00354FEA"/>
    <w:rPr>
      <w:rFonts w:ascii="Calibri" w:eastAsia="Calibri" w:hAnsi="Calibri" w:cs="Times New Roman"/>
    </w:rPr>
  </w:style>
  <w:style w:type="paragraph" w:styleId="Piedepgina">
    <w:name w:val="footer"/>
    <w:basedOn w:val="Normal"/>
    <w:link w:val="PiedepginaCar"/>
    <w:uiPriority w:val="99"/>
    <w:unhideWhenUsed/>
    <w:rsid w:val="00354FEA"/>
    <w:pPr>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354FEA"/>
    <w:rPr>
      <w:rFonts w:ascii="Calibri" w:eastAsia="Calibri" w:hAnsi="Calibri" w:cs="Times New Roman"/>
    </w:rPr>
  </w:style>
  <w:style w:type="paragraph" w:customStyle="1" w:styleId="epgrafe">
    <w:name w:val="epgrafe"/>
    <w:basedOn w:val="Normal"/>
    <w:rsid w:val="00354FEA"/>
    <w:pPr>
      <w:spacing w:before="100" w:beforeAutospacing="1" w:after="100" w:afterAutospacing="1"/>
    </w:pPr>
    <w:rPr>
      <w:rFonts w:eastAsia="Calibri"/>
      <w:lang w:val="es-ES"/>
    </w:rPr>
  </w:style>
  <w:style w:type="paragraph" w:styleId="Prrafodelista">
    <w:name w:val="List Paragraph"/>
    <w:basedOn w:val="Normal"/>
    <w:uiPriority w:val="34"/>
    <w:qFormat/>
    <w:rsid w:val="00354FEA"/>
    <w:pPr>
      <w:ind w:left="720"/>
      <w:contextualSpacing/>
    </w:pPr>
  </w:style>
  <w:style w:type="paragraph" w:customStyle="1" w:styleId="Prrafodelista1">
    <w:name w:val="Párrafo de lista1"/>
    <w:basedOn w:val="Normal"/>
    <w:rsid w:val="00354FEA"/>
    <w:pPr>
      <w:ind w:left="720"/>
    </w:pPr>
    <w:rPr>
      <w:lang w:val="es-ES_tradnl"/>
    </w:rPr>
  </w:style>
  <w:style w:type="paragraph" w:styleId="Sinespaciado">
    <w:name w:val="No Spacing"/>
    <w:uiPriority w:val="1"/>
    <w:qFormat/>
    <w:rsid w:val="00354FEA"/>
    <w:pPr>
      <w:spacing w:after="0" w:line="240" w:lineRule="auto"/>
    </w:pPr>
    <w:rPr>
      <w:rFonts w:ascii="Times New Roman" w:eastAsia="Times New Roman" w:hAnsi="Times New Roman" w:cs="Times New Roman"/>
      <w:sz w:val="24"/>
      <w:szCs w:val="24"/>
      <w:lang w:val="es-ES_tradnl" w:eastAsia="es-ES"/>
    </w:rPr>
  </w:style>
  <w:style w:type="character" w:customStyle="1" w:styleId="Bodytext10">
    <w:name w:val="Body text (10)"/>
    <w:link w:val="Bodytext101"/>
    <w:uiPriority w:val="99"/>
    <w:rsid w:val="00354FEA"/>
    <w:rPr>
      <w:b/>
      <w:bCs/>
      <w:shd w:val="clear" w:color="auto" w:fill="FFFFFF"/>
    </w:rPr>
  </w:style>
  <w:style w:type="paragraph" w:customStyle="1" w:styleId="Bodytext101">
    <w:name w:val="Body text (10)1"/>
    <w:basedOn w:val="Normal"/>
    <w:link w:val="Bodytext10"/>
    <w:uiPriority w:val="99"/>
    <w:rsid w:val="00354FEA"/>
    <w:pPr>
      <w:shd w:val="clear" w:color="auto" w:fill="FFFFFF"/>
      <w:spacing w:before="180" w:after="300" w:line="240" w:lineRule="atLeast"/>
    </w:pPr>
    <w:rPr>
      <w:rFonts w:asciiTheme="minorHAnsi" w:eastAsiaTheme="minorHAnsi" w:hAnsiTheme="minorHAnsi" w:cstheme="minorBidi"/>
      <w:b/>
      <w:bCs/>
      <w:sz w:val="22"/>
      <w:szCs w:val="22"/>
      <w:lang w:eastAsia="en-US"/>
    </w:rPr>
  </w:style>
  <w:style w:type="paragraph" w:styleId="NormalWeb">
    <w:name w:val="Normal (Web)"/>
    <w:basedOn w:val="Normal"/>
    <w:uiPriority w:val="99"/>
    <w:unhideWhenUsed/>
    <w:rsid w:val="00354FEA"/>
    <w:pPr>
      <w:spacing w:before="100" w:beforeAutospacing="1" w:after="100" w:afterAutospacing="1"/>
    </w:pPr>
    <w:rPr>
      <w:lang w:eastAsia="es-CO"/>
    </w:rPr>
  </w:style>
  <w:style w:type="paragraph" w:styleId="Textonotapie">
    <w:name w:val="footnote text"/>
    <w:basedOn w:val="Normal"/>
    <w:link w:val="TextonotapieCar"/>
    <w:uiPriority w:val="99"/>
    <w:semiHidden/>
    <w:unhideWhenUsed/>
    <w:rsid w:val="00354FEA"/>
    <w:rPr>
      <w:sz w:val="20"/>
      <w:szCs w:val="20"/>
    </w:rPr>
  </w:style>
  <w:style w:type="character" w:customStyle="1" w:styleId="TextonotapieCar">
    <w:name w:val="Texto nota pie Car"/>
    <w:basedOn w:val="Fuentedeprrafopredeter"/>
    <w:link w:val="Textonotapie"/>
    <w:uiPriority w:val="99"/>
    <w:semiHidden/>
    <w:rsid w:val="00354FEA"/>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354FEA"/>
    <w:rPr>
      <w:vertAlign w:val="superscript"/>
    </w:rPr>
  </w:style>
  <w:style w:type="paragraph" w:customStyle="1" w:styleId="Default">
    <w:name w:val="Default"/>
    <w:rsid w:val="00354FEA"/>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725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5F8"/>
    <w:rPr>
      <w:rFonts w:ascii="Segoe UI" w:eastAsia="Times New Roman" w:hAnsi="Segoe UI" w:cs="Segoe UI"/>
      <w:sz w:val="18"/>
      <w:szCs w:val="18"/>
      <w:lang w:eastAsia="es-ES"/>
    </w:rPr>
  </w:style>
  <w:style w:type="character" w:styleId="Refdecomentario">
    <w:name w:val="annotation reference"/>
    <w:rsid w:val="009F0348"/>
    <w:rPr>
      <w:sz w:val="16"/>
    </w:rPr>
  </w:style>
  <w:style w:type="paragraph" w:styleId="Textocomentario">
    <w:name w:val="annotation text"/>
    <w:basedOn w:val="Normal"/>
    <w:link w:val="TextocomentarioCar"/>
    <w:rsid w:val="009F0348"/>
    <w:pPr>
      <w:autoSpaceDE w:val="0"/>
      <w:autoSpaceDN w:val="0"/>
    </w:pPr>
    <w:rPr>
      <w:rFonts w:ascii="Arial" w:hAnsi="Arial"/>
      <w:color w:val="000000"/>
      <w:sz w:val="20"/>
      <w:szCs w:val="20"/>
      <w:lang w:val="x-none"/>
    </w:rPr>
  </w:style>
  <w:style w:type="character" w:customStyle="1" w:styleId="TextocomentarioCar">
    <w:name w:val="Texto comentario Car"/>
    <w:basedOn w:val="Fuentedeprrafopredeter"/>
    <w:link w:val="Textocomentario"/>
    <w:rsid w:val="009F0348"/>
    <w:rPr>
      <w:rFonts w:ascii="Arial" w:eastAsia="Times New Roman" w:hAnsi="Arial" w:cs="Times New Roman"/>
      <w:color w:val="000000"/>
      <w:sz w:val="20"/>
      <w:szCs w:val="20"/>
      <w:lang w:val="x-none" w:eastAsia="es-ES"/>
    </w:rPr>
  </w:style>
  <w:style w:type="character" w:customStyle="1" w:styleId="apple-converted-space">
    <w:name w:val="apple-converted-space"/>
    <w:rsid w:val="009F0348"/>
  </w:style>
  <w:style w:type="character" w:styleId="Hipervnculo">
    <w:name w:val="Hyperlink"/>
    <w:basedOn w:val="Fuentedeprrafopredeter"/>
    <w:uiPriority w:val="99"/>
    <w:unhideWhenUsed/>
    <w:rsid w:val="00D62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8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H7EN5MXTHQNV-662-1147</_dlc_DocId>
    <_dlc_DocIdUrl xmlns="ae9388c0-b1e2-40ea-b6a8-c51c7913cbd2">
      <Url>https://www.mincultura.gov.co/prensa/noticias/_layouts/15/DocIdRedir.aspx?ID=H7EN5MXTHQNV-662-1147</Url>
      <Description>H7EN5MXTHQNV-662-1147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AFC77-0FF0-4219-AA44-7F3AB648BC3F}"/>
</file>

<file path=customXml/itemProps2.xml><?xml version="1.0" encoding="utf-8"?>
<ds:datastoreItem xmlns:ds="http://schemas.openxmlformats.org/officeDocument/2006/customXml" ds:itemID="{089980B4-D3BC-4894-9994-0D3C968025B2}"/>
</file>

<file path=customXml/itemProps3.xml><?xml version="1.0" encoding="utf-8"?>
<ds:datastoreItem xmlns:ds="http://schemas.openxmlformats.org/officeDocument/2006/customXml" ds:itemID="{03D60716-885F-4A7B-A6CB-7773196EC82E}"/>
</file>

<file path=customXml/itemProps4.xml><?xml version="1.0" encoding="utf-8"?>
<ds:datastoreItem xmlns:ds="http://schemas.openxmlformats.org/officeDocument/2006/customXml" ds:itemID="{9798E116-87A7-4C85-812A-F72F3240DADD}"/>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July Esperanza Gonzalez Monsalve</dc:creator>
  <cp:lastModifiedBy>Maria Alejandra Caicedo</cp:lastModifiedBy>
  <cp:revision>3</cp:revision>
  <cp:lastPrinted>2017-04-24T13:56:00Z</cp:lastPrinted>
  <dcterms:created xsi:type="dcterms:W3CDTF">2017-04-24T13:52:00Z</dcterms:created>
  <dcterms:modified xsi:type="dcterms:W3CDTF">2017-04-24T13:57:00Z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55e7ce07-3871-40d5-ab55-11b576621313</vt:lpwstr>
  </property>
</Properties>
</file>