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thickThinLargeGap" w:sz="6" w:space="0" w:color="C0C0C0"/>
          <w:left w:val="thickThinLargeGap" w:sz="6" w:space="0" w:color="C0C0C0"/>
          <w:bottom w:val="thinThickLargeGap" w:sz="6" w:space="0" w:color="C0C0C0"/>
          <w:right w:val="thinThickLargeGap" w:sz="6" w:space="0" w:color="C0C0C0"/>
          <w:insideH w:val="single" w:sz="6" w:space="0" w:color="auto"/>
          <w:insideV w:val="single" w:sz="6" w:space="0" w:color="auto"/>
        </w:tblBorders>
        <w:tblCellMar>
          <w:left w:w="70" w:type="dxa"/>
          <w:right w:w="70" w:type="dxa"/>
        </w:tblCellMar>
        <w:tblLook w:val="01E0" w:firstRow="1" w:lastRow="1" w:firstColumn="1" w:lastColumn="1" w:noHBand="0" w:noVBand="0"/>
      </w:tblPr>
      <w:tblGrid>
        <w:gridCol w:w="4280"/>
        <w:gridCol w:w="5632"/>
      </w:tblGrid>
      <w:tr w:rsidR="002723AE" w:rsidRPr="00005E76" w:rsidTr="00A8453D">
        <w:trPr>
          <w:cantSplit/>
          <w:trHeight w:val="1358"/>
          <w:tblHeader/>
        </w:trPr>
        <w:tc>
          <w:tcPr>
            <w:tcW w:w="1226" w:type="pct"/>
            <w:tcBorders>
              <w:top w:val="thickThinLargeGap" w:sz="6" w:space="0" w:color="C0C0C0"/>
            </w:tcBorders>
            <w:vAlign w:val="center"/>
          </w:tcPr>
          <w:p w:rsidR="002723AE" w:rsidRPr="006B2859" w:rsidRDefault="00A8453D" w:rsidP="00A8453D">
            <w:r>
              <w:rPr>
                <w:noProof/>
                <w:lang w:eastAsia="es-CO"/>
              </w:rPr>
              <w:drawing>
                <wp:anchor distT="114300" distB="114300" distL="114300" distR="114300" simplePos="0" relativeHeight="251659264" behindDoc="1" locked="0" layoutInCell="1" hidden="0" allowOverlap="1" wp14:anchorId="6E5A9467" wp14:editId="23FC2037">
                  <wp:simplePos x="762000" y="762000"/>
                  <wp:positionH relativeFrom="margin">
                    <wp:posOffset>-3810</wp:posOffset>
                  </wp:positionH>
                  <wp:positionV relativeFrom="margin">
                    <wp:posOffset>263525</wp:posOffset>
                  </wp:positionV>
                  <wp:extent cx="2628900" cy="457200"/>
                  <wp:effectExtent l="0" t="0" r="0" b="0"/>
                  <wp:wrapSquare wrapText="bothSides"/>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628900" cy="457200"/>
                          </a:xfrm>
                          <a:prstGeom prst="rect">
                            <a:avLst/>
                          </a:prstGeom>
                          <a:ln/>
                        </pic:spPr>
                      </pic:pic>
                    </a:graphicData>
                  </a:graphic>
                  <wp14:sizeRelH relativeFrom="margin">
                    <wp14:pctWidth>0</wp14:pctWidth>
                  </wp14:sizeRelH>
                  <wp14:sizeRelV relativeFrom="margin">
                    <wp14:pctHeight>0</wp14:pctHeight>
                  </wp14:sizeRelV>
                </wp:anchor>
              </w:drawing>
            </w:r>
          </w:p>
        </w:tc>
        <w:tc>
          <w:tcPr>
            <w:tcW w:w="3774" w:type="pct"/>
            <w:tcBorders>
              <w:top w:val="thickThinLargeGap" w:sz="6" w:space="0" w:color="C0C0C0"/>
            </w:tcBorders>
            <w:vAlign w:val="center"/>
          </w:tcPr>
          <w:p w:rsidR="002723AE" w:rsidRDefault="002723AE" w:rsidP="002723AE">
            <w:pPr>
              <w:pStyle w:val="Encabezado"/>
              <w:jc w:val="center"/>
              <w:rPr>
                <w:rFonts w:ascii="Verdana" w:hAnsi="Verdana" w:cs="Arial"/>
                <w:b/>
                <w:sz w:val="20"/>
                <w:szCs w:val="20"/>
              </w:rPr>
            </w:pPr>
            <w:r w:rsidRPr="00005E76">
              <w:rPr>
                <w:rFonts w:ascii="Verdana" w:hAnsi="Verdana" w:cs="Arial"/>
                <w:b/>
                <w:sz w:val="20"/>
                <w:szCs w:val="20"/>
              </w:rPr>
              <w:t>MEMORIA JUSTIFICATIVA</w:t>
            </w:r>
            <w:r>
              <w:rPr>
                <w:rFonts w:ascii="Verdana" w:hAnsi="Verdana" w:cs="Arial"/>
                <w:b/>
                <w:sz w:val="20"/>
                <w:szCs w:val="20"/>
              </w:rPr>
              <w:t xml:space="preserve"> – EXPEDICIÓN NORMATIVA</w:t>
            </w:r>
          </w:p>
          <w:p w:rsidR="002723AE" w:rsidRPr="00005E76" w:rsidRDefault="002723AE" w:rsidP="002723AE">
            <w:pPr>
              <w:pStyle w:val="Encabezado"/>
              <w:jc w:val="center"/>
              <w:rPr>
                <w:rFonts w:ascii="Verdana" w:hAnsi="Verdana"/>
                <w:sz w:val="20"/>
                <w:szCs w:val="20"/>
              </w:rPr>
            </w:pPr>
            <w:r>
              <w:rPr>
                <w:rFonts w:ascii="Verdana" w:hAnsi="Verdana" w:cs="Arial"/>
                <w:b/>
                <w:sz w:val="20"/>
                <w:szCs w:val="20"/>
              </w:rPr>
              <w:t>Decre</w:t>
            </w:r>
            <w:r w:rsidR="00A8453D">
              <w:rPr>
                <w:rFonts w:ascii="Verdana" w:hAnsi="Verdana" w:cs="Arial"/>
                <w:b/>
                <w:sz w:val="20"/>
                <w:szCs w:val="20"/>
              </w:rPr>
              <w:t>to Reglamentario n.°     de 2018</w:t>
            </w:r>
          </w:p>
        </w:tc>
      </w:tr>
    </w:tbl>
    <w:p w:rsidR="00354FEA" w:rsidRPr="00005E76" w:rsidRDefault="00354FEA" w:rsidP="00354FEA">
      <w:pPr>
        <w:tabs>
          <w:tab w:val="left" w:pos="8930"/>
        </w:tabs>
        <w:ind w:right="-1"/>
        <w:jc w:val="center"/>
        <w:rPr>
          <w:rFonts w:ascii="Verdana" w:hAnsi="Verdana"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2"/>
        <w:gridCol w:w="3002"/>
        <w:gridCol w:w="2798"/>
      </w:tblGrid>
      <w:tr w:rsidR="00354FEA" w:rsidRPr="00005E76" w:rsidTr="00354FEA">
        <w:tc>
          <w:tcPr>
            <w:tcW w:w="4162" w:type="dxa"/>
            <w:vMerge w:val="restart"/>
            <w:tcBorders>
              <w:top w:val="single" w:sz="4" w:space="0" w:color="auto"/>
              <w:left w:val="single" w:sz="4" w:space="0" w:color="auto"/>
              <w:bottom w:val="single" w:sz="4" w:space="0" w:color="auto"/>
              <w:right w:val="single" w:sz="4" w:space="0" w:color="auto"/>
            </w:tcBorders>
            <w:vAlign w:val="center"/>
            <w:hideMark/>
          </w:tcPr>
          <w:p w:rsidR="00354FEA" w:rsidRPr="006F7417" w:rsidRDefault="00354FEA" w:rsidP="00655296">
            <w:pPr>
              <w:tabs>
                <w:tab w:val="left" w:pos="8930"/>
              </w:tabs>
              <w:ind w:right="-1"/>
              <w:jc w:val="both"/>
              <w:rPr>
                <w:rFonts w:ascii="Verdana" w:hAnsi="Verdana" w:cs="Arial"/>
                <w:b/>
                <w:sz w:val="20"/>
                <w:szCs w:val="20"/>
                <w:lang w:val="es-ES"/>
              </w:rPr>
            </w:pPr>
            <w:r w:rsidRPr="00005E76">
              <w:rPr>
                <w:rFonts w:ascii="Verdana" w:hAnsi="Verdana" w:cs="Arial"/>
                <w:b/>
                <w:sz w:val="20"/>
                <w:szCs w:val="20"/>
              </w:rPr>
              <w:t>Tipo de proyecto normativo:</w:t>
            </w:r>
          </w:p>
        </w:tc>
        <w:tc>
          <w:tcPr>
            <w:tcW w:w="3002" w:type="dxa"/>
            <w:tcBorders>
              <w:top w:val="single" w:sz="4" w:space="0" w:color="auto"/>
              <w:left w:val="single" w:sz="4" w:space="0" w:color="auto"/>
              <w:bottom w:val="single" w:sz="4" w:space="0" w:color="auto"/>
              <w:right w:val="single" w:sz="4" w:space="0" w:color="auto"/>
            </w:tcBorders>
            <w:hideMark/>
          </w:tcPr>
          <w:p w:rsidR="00354FEA" w:rsidRPr="00005E76" w:rsidRDefault="00354FEA" w:rsidP="00655296">
            <w:pPr>
              <w:tabs>
                <w:tab w:val="left" w:pos="8930"/>
              </w:tabs>
              <w:ind w:right="-1"/>
              <w:jc w:val="both"/>
              <w:rPr>
                <w:rFonts w:ascii="Verdana" w:hAnsi="Verdana" w:cs="Arial"/>
                <w:b/>
                <w:sz w:val="20"/>
                <w:szCs w:val="20"/>
                <w:lang w:val="es-ES"/>
              </w:rPr>
            </w:pPr>
            <w:r w:rsidRPr="00005E76">
              <w:rPr>
                <w:rFonts w:ascii="Verdana" w:hAnsi="Verdana" w:cs="Arial"/>
                <w:b/>
                <w:sz w:val="20"/>
                <w:szCs w:val="20"/>
              </w:rPr>
              <w:t>Decreto</w:t>
            </w:r>
          </w:p>
        </w:tc>
        <w:tc>
          <w:tcPr>
            <w:tcW w:w="2798" w:type="dxa"/>
            <w:tcBorders>
              <w:top w:val="single" w:sz="4" w:space="0" w:color="auto"/>
              <w:left w:val="single" w:sz="4" w:space="0" w:color="auto"/>
              <w:bottom w:val="single" w:sz="4" w:space="0" w:color="auto"/>
              <w:right w:val="single" w:sz="4" w:space="0" w:color="auto"/>
            </w:tcBorders>
            <w:vAlign w:val="center"/>
          </w:tcPr>
          <w:p w:rsidR="00354FEA" w:rsidRPr="00005E76" w:rsidRDefault="00354FEA" w:rsidP="00655296">
            <w:pPr>
              <w:tabs>
                <w:tab w:val="left" w:pos="8930"/>
              </w:tabs>
              <w:ind w:right="-1"/>
              <w:jc w:val="center"/>
              <w:rPr>
                <w:rFonts w:ascii="Verdana" w:hAnsi="Verdana" w:cs="Arial"/>
                <w:b/>
                <w:sz w:val="20"/>
                <w:szCs w:val="20"/>
                <w:lang w:val="es-ES"/>
              </w:rPr>
            </w:pPr>
            <w:r w:rsidRPr="00005E76">
              <w:rPr>
                <w:rFonts w:ascii="Verdana" w:hAnsi="Verdana" w:cs="Arial"/>
                <w:b/>
                <w:sz w:val="20"/>
                <w:szCs w:val="20"/>
                <w:lang w:val="es-ES"/>
              </w:rPr>
              <w:t>X</w:t>
            </w:r>
          </w:p>
        </w:tc>
      </w:tr>
      <w:tr w:rsidR="00354FEA" w:rsidRPr="00005E76" w:rsidTr="00354FEA">
        <w:tc>
          <w:tcPr>
            <w:tcW w:w="0" w:type="auto"/>
            <w:vMerge/>
            <w:tcBorders>
              <w:top w:val="single" w:sz="4" w:space="0" w:color="auto"/>
              <w:left w:val="single" w:sz="4" w:space="0" w:color="auto"/>
              <w:bottom w:val="single" w:sz="4" w:space="0" w:color="auto"/>
              <w:right w:val="single" w:sz="4" w:space="0" w:color="auto"/>
            </w:tcBorders>
            <w:vAlign w:val="center"/>
            <w:hideMark/>
          </w:tcPr>
          <w:p w:rsidR="00354FEA" w:rsidRPr="00005E76" w:rsidRDefault="00354FEA" w:rsidP="00655296">
            <w:pPr>
              <w:rPr>
                <w:rFonts w:ascii="Verdana" w:hAnsi="Verdana" w:cs="Arial"/>
                <w:sz w:val="20"/>
                <w:szCs w:val="20"/>
                <w:lang w:val="es-ES"/>
              </w:rPr>
            </w:pPr>
          </w:p>
        </w:tc>
        <w:tc>
          <w:tcPr>
            <w:tcW w:w="3002" w:type="dxa"/>
            <w:tcBorders>
              <w:top w:val="single" w:sz="4" w:space="0" w:color="auto"/>
              <w:left w:val="single" w:sz="4" w:space="0" w:color="auto"/>
              <w:bottom w:val="single" w:sz="4" w:space="0" w:color="auto"/>
              <w:right w:val="single" w:sz="4" w:space="0" w:color="auto"/>
            </w:tcBorders>
            <w:hideMark/>
          </w:tcPr>
          <w:p w:rsidR="00354FEA" w:rsidRPr="00005E76" w:rsidRDefault="00354FEA" w:rsidP="00655296">
            <w:pPr>
              <w:tabs>
                <w:tab w:val="left" w:pos="8930"/>
              </w:tabs>
              <w:ind w:right="-1"/>
              <w:jc w:val="both"/>
              <w:rPr>
                <w:rFonts w:ascii="Verdana" w:hAnsi="Verdana" w:cs="Arial"/>
                <w:b/>
                <w:sz w:val="20"/>
                <w:szCs w:val="20"/>
                <w:lang w:val="es-ES"/>
              </w:rPr>
            </w:pPr>
            <w:r w:rsidRPr="00005E76">
              <w:rPr>
                <w:rFonts w:ascii="Verdana" w:hAnsi="Verdana" w:cs="Arial"/>
                <w:b/>
                <w:sz w:val="20"/>
                <w:szCs w:val="20"/>
              </w:rPr>
              <w:t>Resolución</w:t>
            </w:r>
          </w:p>
        </w:tc>
        <w:tc>
          <w:tcPr>
            <w:tcW w:w="2798" w:type="dxa"/>
            <w:tcBorders>
              <w:top w:val="single" w:sz="4" w:space="0" w:color="auto"/>
              <w:left w:val="single" w:sz="4" w:space="0" w:color="auto"/>
              <w:bottom w:val="single" w:sz="4" w:space="0" w:color="auto"/>
              <w:right w:val="single" w:sz="4" w:space="0" w:color="auto"/>
            </w:tcBorders>
            <w:vAlign w:val="center"/>
          </w:tcPr>
          <w:p w:rsidR="00354FEA" w:rsidRPr="00005E76" w:rsidRDefault="00354FEA" w:rsidP="00655296">
            <w:pPr>
              <w:tabs>
                <w:tab w:val="left" w:pos="8930"/>
              </w:tabs>
              <w:ind w:right="-1"/>
              <w:jc w:val="center"/>
              <w:rPr>
                <w:rFonts w:ascii="Verdana" w:hAnsi="Verdana" w:cs="Arial"/>
                <w:b/>
                <w:sz w:val="20"/>
                <w:szCs w:val="20"/>
                <w:lang w:val="es-ES"/>
              </w:rPr>
            </w:pPr>
          </w:p>
        </w:tc>
      </w:tr>
      <w:tr w:rsidR="00354FEA" w:rsidRPr="00005E76" w:rsidTr="00354FEA">
        <w:tc>
          <w:tcPr>
            <w:tcW w:w="0" w:type="auto"/>
            <w:vMerge/>
            <w:tcBorders>
              <w:top w:val="single" w:sz="4" w:space="0" w:color="auto"/>
              <w:left w:val="single" w:sz="4" w:space="0" w:color="auto"/>
              <w:bottom w:val="single" w:sz="4" w:space="0" w:color="auto"/>
              <w:right w:val="single" w:sz="4" w:space="0" w:color="auto"/>
            </w:tcBorders>
            <w:vAlign w:val="center"/>
            <w:hideMark/>
          </w:tcPr>
          <w:p w:rsidR="00354FEA" w:rsidRPr="00005E76" w:rsidRDefault="00354FEA" w:rsidP="00655296">
            <w:pPr>
              <w:rPr>
                <w:rFonts w:ascii="Verdana" w:hAnsi="Verdana" w:cs="Arial"/>
                <w:sz w:val="20"/>
                <w:szCs w:val="20"/>
                <w:lang w:val="es-ES"/>
              </w:rPr>
            </w:pPr>
          </w:p>
        </w:tc>
        <w:tc>
          <w:tcPr>
            <w:tcW w:w="3002" w:type="dxa"/>
            <w:tcBorders>
              <w:top w:val="single" w:sz="4" w:space="0" w:color="auto"/>
              <w:left w:val="single" w:sz="4" w:space="0" w:color="auto"/>
              <w:bottom w:val="single" w:sz="4" w:space="0" w:color="auto"/>
              <w:right w:val="single" w:sz="4" w:space="0" w:color="auto"/>
            </w:tcBorders>
            <w:hideMark/>
          </w:tcPr>
          <w:p w:rsidR="00354FEA" w:rsidRPr="00005E76" w:rsidRDefault="00354FEA" w:rsidP="00655296">
            <w:pPr>
              <w:tabs>
                <w:tab w:val="left" w:pos="8930"/>
              </w:tabs>
              <w:ind w:right="-1"/>
              <w:jc w:val="both"/>
              <w:rPr>
                <w:rFonts w:ascii="Verdana" w:hAnsi="Verdana" w:cs="Arial"/>
                <w:b/>
                <w:sz w:val="20"/>
                <w:szCs w:val="20"/>
                <w:lang w:val="es-ES"/>
              </w:rPr>
            </w:pPr>
            <w:r w:rsidRPr="00005E76">
              <w:rPr>
                <w:rFonts w:ascii="Verdana" w:hAnsi="Verdana" w:cs="Arial"/>
                <w:b/>
                <w:sz w:val="20"/>
                <w:szCs w:val="20"/>
              </w:rPr>
              <w:t>Otro - ¿Cuál?</w:t>
            </w:r>
          </w:p>
        </w:tc>
        <w:tc>
          <w:tcPr>
            <w:tcW w:w="2798" w:type="dxa"/>
            <w:tcBorders>
              <w:top w:val="single" w:sz="4" w:space="0" w:color="auto"/>
              <w:left w:val="single" w:sz="4" w:space="0" w:color="auto"/>
              <w:bottom w:val="single" w:sz="4" w:space="0" w:color="auto"/>
              <w:right w:val="single" w:sz="4" w:space="0" w:color="auto"/>
            </w:tcBorders>
            <w:vAlign w:val="center"/>
          </w:tcPr>
          <w:p w:rsidR="00354FEA" w:rsidRPr="00005E76" w:rsidRDefault="00354FEA" w:rsidP="00655296">
            <w:pPr>
              <w:tabs>
                <w:tab w:val="left" w:pos="8930"/>
              </w:tabs>
              <w:ind w:right="-1"/>
              <w:jc w:val="center"/>
              <w:rPr>
                <w:rFonts w:ascii="Verdana" w:hAnsi="Verdana" w:cs="Arial"/>
                <w:b/>
                <w:sz w:val="20"/>
                <w:szCs w:val="20"/>
                <w:lang w:val="es-ES"/>
              </w:rPr>
            </w:pPr>
          </w:p>
        </w:tc>
      </w:tr>
      <w:tr w:rsidR="00354FEA" w:rsidRPr="00005E76" w:rsidTr="00354FEA">
        <w:tc>
          <w:tcPr>
            <w:tcW w:w="9962" w:type="dxa"/>
            <w:gridSpan w:val="3"/>
            <w:tcBorders>
              <w:top w:val="single" w:sz="4" w:space="0" w:color="auto"/>
              <w:left w:val="single" w:sz="4" w:space="0" w:color="auto"/>
              <w:bottom w:val="single" w:sz="4" w:space="0" w:color="auto"/>
              <w:right w:val="single" w:sz="4" w:space="0" w:color="auto"/>
            </w:tcBorders>
            <w:hideMark/>
          </w:tcPr>
          <w:p w:rsidR="00354FEA" w:rsidRPr="00005E76" w:rsidRDefault="00354FEA" w:rsidP="00354FEA">
            <w:pPr>
              <w:pStyle w:val="Default"/>
              <w:rPr>
                <w:sz w:val="20"/>
                <w:szCs w:val="20"/>
              </w:rPr>
            </w:pPr>
          </w:p>
          <w:tbl>
            <w:tblPr>
              <w:tblW w:w="0" w:type="auto"/>
              <w:tblBorders>
                <w:top w:val="nil"/>
                <w:left w:val="nil"/>
                <w:bottom w:val="nil"/>
                <w:right w:val="nil"/>
              </w:tblBorders>
              <w:tblLook w:val="0000" w:firstRow="0" w:lastRow="0" w:firstColumn="0" w:lastColumn="0" w:noHBand="0" w:noVBand="0"/>
            </w:tblPr>
            <w:tblGrid>
              <w:gridCol w:w="9746"/>
            </w:tblGrid>
            <w:tr w:rsidR="00E44E44" w:rsidRPr="00005E76">
              <w:trPr>
                <w:trHeight w:val="339"/>
              </w:trPr>
              <w:tc>
                <w:tcPr>
                  <w:tcW w:w="0" w:type="auto"/>
                </w:tcPr>
                <w:p w:rsidR="00354FEA" w:rsidRPr="00005E76" w:rsidRDefault="00354FEA" w:rsidP="00B44751">
                  <w:pPr>
                    <w:pStyle w:val="Default"/>
                    <w:jc w:val="center"/>
                    <w:rPr>
                      <w:i/>
                      <w:iCs/>
                      <w:sz w:val="20"/>
                      <w:szCs w:val="20"/>
                    </w:rPr>
                  </w:pPr>
                  <w:r w:rsidRPr="00005E76">
                    <w:rPr>
                      <w:i/>
                      <w:sz w:val="20"/>
                      <w:szCs w:val="20"/>
                    </w:rPr>
                    <w:t>“</w:t>
                  </w:r>
                  <w:r w:rsidR="00531C9F" w:rsidRPr="00531C9F">
                    <w:rPr>
                      <w:i/>
                      <w:iCs/>
                      <w:sz w:val="20"/>
                      <w:szCs w:val="20"/>
                    </w:rPr>
                    <w:t>Por el cual se modifica la Parte VI “Patrimonio Arqueológico” del Decreto 1080 de 2015, Decreto Único Reglamentario del Sector Cultura</w:t>
                  </w:r>
                  <w:r w:rsidRPr="00005E76">
                    <w:rPr>
                      <w:i/>
                      <w:iCs/>
                      <w:sz w:val="20"/>
                      <w:szCs w:val="20"/>
                    </w:rPr>
                    <w:t>”.</w:t>
                  </w:r>
                </w:p>
                <w:p w:rsidR="00354FEA" w:rsidRPr="00005E76" w:rsidRDefault="00354FEA" w:rsidP="00354FEA">
                  <w:pPr>
                    <w:pStyle w:val="Default"/>
                    <w:rPr>
                      <w:sz w:val="20"/>
                      <w:szCs w:val="20"/>
                    </w:rPr>
                  </w:pPr>
                </w:p>
              </w:tc>
            </w:tr>
          </w:tbl>
          <w:p w:rsidR="00354FEA" w:rsidRPr="00005E76" w:rsidRDefault="00354FEA" w:rsidP="00655296">
            <w:pPr>
              <w:jc w:val="both"/>
              <w:rPr>
                <w:rFonts w:ascii="Verdana" w:hAnsi="Verdana" w:cs="Arial"/>
                <w:sz w:val="20"/>
                <w:szCs w:val="20"/>
                <w:lang w:val="es-ES"/>
              </w:rPr>
            </w:pPr>
          </w:p>
        </w:tc>
      </w:tr>
    </w:tbl>
    <w:p w:rsidR="00354FEA" w:rsidRPr="00005E76" w:rsidRDefault="00354FEA" w:rsidP="00354FEA">
      <w:pPr>
        <w:jc w:val="both"/>
        <w:rPr>
          <w:rFonts w:ascii="Verdana" w:hAnsi="Verdana" w:cs="Arial"/>
          <w:b/>
          <w:sz w:val="20"/>
          <w:szCs w:val="20"/>
          <w:lang w:val="es-MX"/>
        </w:rPr>
      </w:pPr>
    </w:p>
    <w:p w:rsidR="00354FEA" w:rsidRPr="00005E76" w:rsidRDefault="00354FEA" w:rsidP="00695F5C">
      <w:pPr>
        <w:jc w:val="center"/>
        <w:rPr>
          <w:rFonts w:ascii="Verdana" w:hAnsi="Verdana" w:cs="Arial"/>
          <w:b/>
          <w:sz w:val="20"/>
          <w:szCs w:val="20"/>
          <w:lang w:val="es-MX"/>
        </w:rPr>
      </w:pPr>
      <w:r w:rsidRPr="00005E76">
        <w:rPr>
          <w:rFonts w:ascii="Verdana" w:hAnsi="Verdana" w:cs="Arial"/>
          <w:b/>
          <w:sz w:val="20"/>
          <w:szCs w:val="20"/>
          <w:lang w:val="es-MX"/>
        </w:rPr>
        <w:t>ESTUDIO DE IMPACTO Y MEMORIA JUSTIFICATIVA</w:t>
      </w:r>
      <w:r w:rsidRPr="00005E76">
        <w:rPr>
          <w:rStyle w:val="Refdenotaalpie"/>
          <w:rFonts w:ascii="Verdana" w:hAnsi="Verdana" w:cs="Arial"/>
          <w:b/>
          <w:sz w:val="20"/>
          <w:szCs w:val="20"/>
          <w:lang w:val="es-MX"/>
        </w:rPr>
        <w:footnoteReference w:id="1"/>
      </w:r>
    </w:p>
    <w:p w:rsidR="00746D1E" w:rsidRPr="00005E76" w:rsidRDefault="00746D1E" w:rsidP="00354FEA">
      <w:pPr>
        <w:jc w:val="both"/>
        <w:rPr>
          <w:rFonts w:ascii="Verdana" w:hAnsi="Verdana" w:cs="Arial"/>
          <w:sz w:val="20"/>
          <w:szCs w:val="20"/>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354FEA" w:rsidRPr="00005E76" w:rsidTr="00B615FD">
        <w:tc>
          <w:tcPr>
            <w:tcW w:w="9962" w:type="dxa"/>
            <w:shd w:val="clear" w:color="auto" w:fill="F2F2F2" w:themeFill="background1" w:themeFillShade="F2"/>
          </w:tcPr>
          <w:p w:rsidR="00354FEA" w:rsidRPr="00005E76" w:rsidRDefault="00354FEA" w:rsidP="002723EB">
            <w:pPr>
              <w:pStyle w:val="Prrafodelista1"/>
              <w:numPr>
                <w:ilvl w:val="0"/>
                <w:numId w:val="1"/>
              </w:numPr>
              <w:jc w:val="center"/>
              <w:rPr>
                <w:rFonts w:ascii="Verdana" w:hAnsi="Verdana" w:cs="Arial"/>
                <w:sz w:val="20"/>
                <w:szCs w:val="20"/>
              </w:rPr>
            </w:pPr>
            <w:r w:rsidRPr="00005E76">
              <w:rPr>
                <w:rFonts w:ascii="Verdana" w:hAnsi="Verdana" w:cs="Arial"/>
                <w:b/>
                <w:sz w:val="20"/>
                <w:szCs w:val="20"/>
              </w:rPr>
              <w:t>Antecedentes, razones de oportunidad y conveniencia que justifican su expedición</w:t>
            </w:r>
          </w:p>
        </w:tc>
      </w:tr>
      <w:tr w:rsidR="00354FEA" w:rsidRPr="00005E76" w:rsidTr="001E4A8A">
        <w:trPr>
          <w:trHeight w:val="1265"/>
        </w:trPr>
        <w:tc>
          <w:tcPr>
            <w:tcW w:w="9962" w:type="dxa"/>
            <w:shd w:val="clear" w:color="auto" w:fill="auto"/>
          </w:tcPr>
          <w:p w:rsidR="00354FEA" w:rsidRPr="00005E76" w:rsidRDefault="00354FEA">
            <w:pPr>
              <w:rPr>
                <w:rFonts w:ascii="Verdana" w:hAnsi="Verdana"/>
                <w:sz w:val="20"/>
                <w:szCs w:val="20"/>
              </w:rPr>
            </w:pPr>
          </w:p>
          <w:tbl>
            <w:tblPr>
              <w:tblW w:w="0" w:type="auto"/>
              <w:tblBorders>
                <w:top w:val="nil"/>
                <w:left w:val="nil"/>
                <w:bottom w:val="nil"/>
                <w:right w:val="nil"/>
              </w:tblBorders>
              <w:tblLook w:val="0000" w:firstRow="0" w:lastRow="0" w:firstColumn="0" w:lastColumn="0" w:noHBand="0" w:noVBand="0"/>
            </w:tblPr>
            <w:tblGrid>
              <w:gridCol w:w="9746"/>
            </w:tblGrid>
            <w:tr w:rsidR="007A12BA" w:rsidRPr="00005E76" w:rsidTr="001E4A8A">
              <w:trPr>
                <w:trHeight w:val="1261"/>
              </w:trPr>
              <w:tc>
                <w:tcPr>
                  <w:tcW w:w="0" w:type="auto"/>
                </w:tcPr>
                <w:p w:rsidR="00531C9F" w:rsidRPr="00531C9F" w:rsidRDefault="00531C9F" w:rsidP="00531C9F">
                  <w:pPr>
                    <w:pStyle w:val="Default"/>
                    <w:jc w:val="both"/>
                    <w:rPr>
                      <w:sz w:val="20"/>
                      <w:szCs w:val="20"/>
                    </w:rPr>
                  </w:pPr>
                  <w:r>
                    <w:rPr>
                      <w:sz w:val="20"/>
                      <w:szCs w:val="20"/>
                    </w:rPr>
                    <w:t>E</w:t>
                  </w:r>
                  <w:r w:rsidRPr="00531C9F">
                    <w:rPr>
                      <w:sz w:val="20"/>
                      <w:szCs w:val="20"/>
                    </w:rPr>
                    <w:t xml:space="preserve">l artículo 209 de la Constitución Política de Colombia establece que la función administrativa está al servicio del interés general y se desarrolla con fundamento en los principios de igualdad, moralidad, eficiencia, economía, celeridad, imparcialidad y publicidad. </w:t>
                  </w:r>
                </w:p>
                <w:p w:rsidR="00531C9F" w:rsidRPr="00531C9F" w:rsidRDefault="00531C9F" w:rsidP="00531C9F">
                  <w:pPr>
                    <w:pStyle w:val="Default"/>
                    <w:jc w:val="both"/>
                    <w:rPr>
                      <w:sz w:val="20"/>
                      <w:szCs w:val="20"/>
                    </w:rPr>
                  </w:pPr>
                </w:p>
                <w:p w:rsidR="00E07FCA" w:rsidRDefault="00531C9F" w:rsidP="00531C9F">
                  <w:pPr>
                    <w:pStyle w:val="Default"/>
                    <w:jc w:val="both"/>
                    <w:rPr>
                      <w:sz w:val="20"/>
                      <w:szCs w:val="20"/>
                    </w:rPr>
                  </w:pPr>
                  <w:r>
                    <w:rPr>
                      <w:sz w:val="20"/>
                      <w:szCs w:val="20"/>
                    </w:rPr>
                    <w:t>L</w:t>
                  </w:r>
                  <w:r w:rsidR="00E07FCA">
                    <w:rPr>
                      <w:sz w:val="20"/>
                      <w:szCs w:val="20"/>
                    </w:rPr>
                    <w:t xml:space="preserve">os artículos </w:t>
                  </w:r>
                  <w:r w:rsidR="00E07FCA" w:rsidRPr="00531C9F">
                    <w:rPr>
                      <w:sz w:val="20"/>
                      <w:szCs w:val="20"/>
                    </w:rPr>
                    <w:t>8</w:t>
                  </w:r>
                  <w:r w:rsidR="00E07FCA">
                    <w:rPr>
                      <w:sz w:val="20"/>
                      <w:szCs w:val="20"/>
                    </w:rPr>
                    <w:t xml:space="preserve">, 63 y 72 </w:t>
                  </w:r>
                  <w:r w:rsidR="00E07FCA" w:rsidRPr="00531C9F">
                    <w:rPr>
                      <w:sz w:val="20"/>
                      <w:szCs w:val="20"/>
                    </w:rPr>
                    <w:t xml:space="preserve"> </w:t>
                  </w:r>
                  <w:r w:rsidR="00E07FCA">
                    <w:rPr>
                      <w:sz w:val="20"/>
                      <w:szCs w:val="20"/>
                    </w:rPr>
                    <w:t>de la</w:t>
                  </w:r>
                  <w:r w:rsidRPr="00531C9F">
                    <w:rPr>
                      <w:sz w:val="20"/>
                      <w:szCs w:val="20"/>
                    </w:rPr>
                    <w:t xml:space="preserve"> Co</w:t>
                  </w:r>
                  <w:r w:rsidR="00E07FCA">
                    <w:rPr>
                      <w:sz w:val="20"/>
                      <w:szCs w:val="20"/>
                    </w:rPr>
                    <w:t xml:space="preserve">nstitución Política de Colombia constituyen el fundamento superior del régimen de protección de las </w:t>
                  </w:r>
                  <w:r w:rsidR="00E07FCA" w:rsidRPr="00531C9F">
                    <w:rPr>
                      <w:sz w:val="20"/>
                      <w:szCs w:val="20"/>
                    </w:rPr>
                    <w:t>riquezas culturales y naturales de la Nación</w:t>
                  </w:r>
                  <w:r w:rsidR="00E07FCA">
                    <w:rPr>
                      <w:sz w:val="20"/>
                      <w:szCs w:val="20"/>
                    </w:rPr>
                    <w:t xml:space="preserve"> y, en específico, del </w:t>
                  </w:r>
                  <w:r w:rsidR="00E07FCA" w:rsidRPr="00531C9F">
                    <w:rPr>
                      <w:sz w:val="20"/>
                      <w:szCs w:val="20"/>
                    </w:rPr>
                    <w:t xml:space="preserve">patrimonio arqueológico </w:t>
                  </w:r>
                  <w:r w:rsidR="00E07FCA">
                    <w:rPr>
                      <w:sz w:val="20"/>
                      <w:szCs w:val="20"/>
                    </w:rPr>
                    <w:t>que conforma</w:t>
                  </w:r>
                  <w:r w:rsidR="00E07FCA" w:rsidRPr="00531C9F">
                    <w:rPr>
                      <w:sz w:val="20"/>
                      <w:szCs w:val="20"/>
                    </w:rPr>
                    <w:t xml:space="preserve"> la identidad nacional, pertenecen a la Nación y son inalienables, inembargables e imprescriptibles</w:t>
                  </w:r>
                  <w:r w:rsidR="00E07FCA">
                    <w:rPr>
                      <w:sz w:val="20"/>
                      <w:szCs w:val="20"/>
                    </w:rPr>
                    <w:t>.</w:t>
                  </w:r>
                </w:p>
                <w:p w:rsidR="00E07FCA" w:rsidRDefault="00E07FCA" w:rsidP="00531C9F">
                  <w:pPr>
                    <w:pStyle w:val="Default"/>
                    <w:jc w:val="both"/>
                    <w:rPr>
                      <w:sz w:val="20"/>
                      <w:szCs w:val="20"/>
                    </w:rPr>
                  </w:pPr>
                </w:p>
                <w:p w:rsidR="00531C9F" w:rsidRPr="00531C9F" w:rsidRDefault="00E07FCA" w:rsidP="00531C9F">
                  <w:pPr>
                    <w:pStyle w:val="Default"/>
                    <w:jc w:val="both"/>
                    <w:rPr>
                      <w:sz w:val="20"/>
                      <w:szCs w:val="20"/>
                    </w:rPr>
                  </w:pPr>
                  <w:r>
                    <w:rPr>
                      <w:sz w:val="20"/>
                      <w:szCs w:val="20"/>
                    </w:rPr>
                    <w:t xml:space="preserve">Por su parte, el </w:t>
                  </w:r>
                  <w:r w:rsidR="00531C9F" w:rsidRPr="00531C9F">
                    <w:rPr>
                      <w:sz w:val="20"/>
                      <w:szCs w:val="20"/>
                    </w:rPr>
                    <w:t>artículo 6 de la Ley 397 de 1997</w:t>
                  </w:r>
                  <w:r>
                    <w:rPr>
                      <w:sz w:val="20"/>
                      <w:szCs w:val="20"/>
                    </w:rPr>
                    <w:t>,</w:t>
                  </w:r>
                  <w:r w:rsidR="00531C9F" w:rsidRPr="00531C9F">
                    <w:rPr>
                      <w:sz w:val="20"/>
                      <w:szCs w:val="20"/>
                    </w:rPr>
                    <w:t xml:space="preserve"> modificado por el ar</w:t>
                  </w:r>
                  <w:r>
                    <w:rPr>
                      <w:sz w:val="20"/>
                      <w:szCs w:val="20"/>
                    </w:rPr>
                    <w:t xml:space="preserve">tículo 3 de la Ley 1185 de 2008, le otorga competencia al </w:t>
                  </w:r>
                  <w:r w:rsidRPr="00531C9F">
                    <w:rPr>
                      <w:sz w:val="20"/>
                      <w:szCs w:val="20"/>
                    </w:rPr>
                    <w:t xml:space="preserve">Instituto Colombiano de Antropología e Historia </w:t>
                  </w:r>
                  <w:r>
                    <w:rPr>
                      <w:sz w:val="20"/>
                      <w:szCs w:val="20"/>
                    </w:rPr>
                    <w:t>–ICANH-</w:t>
                  </w:r>
                  <w:r w:rsidR="00531C9F" w:rsidRPr="00531C9F">
                    <w:rPr>
                      <w:sz w:val="20"/>
                      <w:szCs w:val="20"/>
                    </w:rPr>
                    <w:t xml:space="preserve"> en el territorio nacional respecto del man</w:t>
                  </w:r>
                  <w:r>
                    <w:rPr>
                      <w:sz w:val="20"/>
                      <w:szCs w:val="20"/>
                    </w:rPr>
                    <w:t>ejo del patrimonio arqueológico</w:t>
                  </w:r>
                  <w:r w:rsidR="00531C9F" w:rsidRPr="00531C9F">
                    <w:rPr>
                      <w:sz w:val="20"/>
                      <w:szCs w:val="20"/>
                    </w:rPr>
                    <w:t xml:space="preserve">. </w:t>
                  </w:r>
                </w:p>
                <w:p w:rsidR="00531C9F" w:rsidRPr="00531C9F" w:rsidRDefault="00531C9F" w:rsidP="00531C9F">
                  <w:pPr>
                    <w:pStyle w:val="Default"/>
                    <w:jc w:val="both"/>
                    <w:rPr>
                      <w:sz w:val="20"/>
                      <w:szCs w:val="20"/>
                    </w:rPr>
                  </w:pPr>
                </w:p>
                <w:p w:rsidR="00531C9F" w:rsidRPr="00531C9F" w:rsidRDefault="00531C9F" w:rsidP="00531C9F">
                  <w:pPr>
                    <w:pStyle w:val="Default"/>
                    <w:jc w:val="both"/>
                    <w:rPr>
                      <w:sz w:val="20"/>
                      <w:szCs w:val="20"/>
                    </w:rPr>
                  </w:pPr>
                  <w:r>
                    <w:rPr>
                      <w:sz w:val="20"/>
                      <w:szCs w:val="20"/>
                    </w:rPr>
                    <w:t>E</w:t>
                  </w:r>
                  <w:r w:rsidRPr="00531C9F">
                    <w:rPr>
                      <w:sz w:val="20"/>
                      <w:szCs w:val="20"/>
                    </w:rPr>
                    <w:t xml:space="preserve">l artículo 11 de la Ley 397 de 1997 modificado por el artículo 7 de la Ley 1185 de 2008 establece el Régimen Especial de Protección de los bienes de interés cultural y las disposiciones legales para la intervención sobre los mismos. </w:t>
                  </w:r>
                  <w:r w:rsidR="000A62F9">
                    <w:rPr>
                      <w:sz w:val="20"/>
                      <w:szCs w:val="20"/>
                    </w:rPr>
                    <w:t xml:space="preserve">Esta norma dispone que, </w:t>
                  </w:r>
                  <w:r w:rsidRPr="00531C9F">
                    <w:rPr>
                      <w:sz w:val="20"/>
                      <w:szCs w:val="20"/>
                    </w:rPr>
                    <w:t xml:space="preserve">para la protección del patrimonio arqueológico, en los proyectos que requieran licencia ambiental, registros o autorizaciones equivalentes ante la autoridad ambiental, como requisito previo a su otorgamiento deberá elaborarse un </w:t>
                  </w:r>
                  <w:r w:rsidR="000A62F9" w:rsidRPr="00531C9F">
                    <w:rPr>
                      <w:sz w:val="20"/>
                      <w:szCs w:val="20"/>
                    </w:rPr>
                    <w:t xml:space="preserve">Programa </w:t>
                  </w:r>
                  <w:r w:rsidR="000A62F9">
                    <w:rPr>
                      <w:sz w:val="20"/>
                      <w:szCs w:val="20"/>
                    </w:rPr>
                    <w:t>d</w:t>
                  </w:r>
                  <w:r w:rsidR="000A62F9" w:rsidRPr="00531C9F">
                    <w:rPr>
                      <w:sz w:val="20"/>
                      <w:szCs w:val="20"/>
                    </w:rPr>
                    <w:t xml:space="preserve">e Arqueología Preventiva </w:t>
                  </w:r>
                  <w:r w:rsidRPr="00531C9F">
                    <w:rPr>
                      <w:sz w:val="20"/>
                      <w:szCs w:val="20"/>
                    </w:rPr>
                    <w:t xml:space="preserve">y deberá presentarse al </w:t>
                  </w:r>
                  <w:r w:rsidR="00E07FCA">
                    <w:rPr>
                      <w:sz w:val="20"/>
                      <w:szCs w:val="20"/>
                    </w:rPr>
                    <w:t xml:space="preserve">ICANH </w:t>
                  </w:r>
                  <w:r w:rsidRPr="00531C9F">
                    <w:rPr>
                      <w:sz w:val="20"/>
                      <w:szCs w:val="20"/>
                    </w:rPr>
                    <w:t xml:space="preserve">un Plan de Manejo Arqueológico sin cuya aprobación no podrá adelantarse la obra. </w:t>
                  </w:r>
                </w:p>
                <w:p w:rsidR="00531C9F" w:rsidRPr="00531C9F" w:rsidRDefault="00531C9F" w:rsidP="00531C9F">
                  <w:pPr>
                    <w:pStyle w:val="Default"/>
                    <w:jc w:val="both"/>
                    <w:rPr>
                      <w:sz w:val="20"/>
                      <w:szCs w:val="20"/>
                    </w:rPr>
                  </w:pPr>
                </w:p>
                <w:p w:rsidR="00531C9F" w:rsidRDefault="00531C9F" w:rsidP="00531C9F">
                  <w:pPr>
                    <w:pStyle w:val="Default"/>
                    <w:jc w:val="both"/>
                    <w:rPr>
                      <w:sz w:val="20"/>
                      <w:szCs w:val="20"/>
                    </w:rPr>
                  </w:pPr>
                  <w:r>
                    <w:rPr>
                      <w:sz w:val="20"/>
                      <w:szCs w:val="20"/>
                    </w:rPr>
                    <w:t>A</w:t>
                  </w:r>
                  <w:r w:rsidRPr="00531C9F">
                    <w:rPr>
                      <w:sz w:val="20"/>
                      <w:szCs w:val="20"/>
                    </w:rPr>
                    <w:t xml:space="preserve"> su vez la Ley 1882 de 2018 adicionó un inciso al numeral 2 del artículo 11 de la Ley 397 de 1997, modificado por el ar</w:t>
                  </w:r>
                  <w:r w:rsidR="000A62F9">
                    <w:rPr>
                      <w:sz w:val="20"/>
                      <w:szCs w:val="20"/>
                    </w:rPr>
                    <w:t>tículo 7 de la Ley 1185 de 2008, en los siguientes términos:</w:t>
                  </w:r>
                </w:p>
                <w:p w:rsidR="000A62F9" w:rsidRDefault="000A62F9" w:rsidP="00531C9F">
                  <w:pPr>
                    <w:pStyle w:val="Default"/>
                    <w:jc w:val="both"/>
                    <w:rPr>
                      <w:sz w:val="20"/>
                      <w:szCs w:val="20"/>
                    </w:rPr>
                  </w:pPr>
                </w:p>
                <w:p w:rsidR="000A62F9" w:rsidRPr="000A62F9" w:rsidRDefault="000A62F9" w:rsidP="000A62F9">
                  <w:pPr>
                    <w:pStyle w:val="Default"/>
                    <w:ind w:left="1197" w:right="1529"/>
                    <w:jc w:val="both"/>
                    <w:rPr>
                      <w:i/>
                      <w:sz w:val="20"/>
                      <w:szCs w:val="20"/>
                    </w:rPr>
                  </w:pPr>
                  <w:r w:rsidRPr="000A62F9">
                    <w:rPr>
                      <w:i/>
                      <w:sz w:val="20"/>
                      <w:szCs w:val="20"/>
                    </w:rPr>
                    <w:t>“Cuando se trate de proyectos de infra</w:t>
                  </w:r>
                  <w:r>
                    <w:rPr>
                      <w:i/>
                      <w:sz w:val="20"/>
                      <w:szCs w:val="20"/>
                    </w:rPr>
                    <w:t>estructura la intervención a la que hace referencia el</w:t>
                  </w:r>
                  <w:r w:rsidRPr="000A62F9">
                    <w:rPr>
                      <w:i/>
                      <w:sz w:val="20"/>
                      <w:szCs w:val="20"/>
                    </w:rPr>
                    <w:t xml:space="preserve"> presente artículo deberá ser asumida por el concesionario o contratista en</w:t>
                  </w:r>
                  <w:r>
                    <w:rPr>
                      <w:i/>
                      <w:sz w:val="20"/>
                      <w:szCs w:val="20"/>
                    </w:rPr>
                    <w:t>c</w:t>
                  </w:r>
                  <w:r w:rsidRPr="000A62F9">
                    <w:rPr>
                      <w:i/>
                      <w:sz w:val="20"/>
                      <w:szCs w:val="20"/>
                    </w:rPr>
                    <w:t>argado del proyecto quien para el efec</w:t>
                  </w:r>
                  <w:r>
                    <w:rPr>
                      <w:i/>
                      <w:sz w:val="20"/>
                      <w:szCs w:val="20"/>
                    </w:rPr>
                    <w:t>to será el titular del permiso</w:t>
                  </w:r>
                  <w:r w:rsidRPr="000A62F9">
                    <w:rPr>
                      <w:i/>
                      <w:sz w:val="20"/>
                      <w:szCs w:val="20"/>
                    </w:rPr>
                    <w:t xml:space="preserve"> de intervención que otorgue el Instituto Colombiano de Antropo</w:t>
                  </w:r>
                  <w:r>
                    <w:rPr>
                      <w:i/>
                      <w:sz w:val="20"/>
                      <w:szCs w:val="20"/>
                    </w:rPr>
                    <w:t xml:space="preserve">logía e Historia. No obstante, </w:t>
                  </w:r>
                  <w:r w:rsidRPr="000A62F9">
                    <w:rPr>
                      <w:i/>
                      <w:sz w:val="20"/>
                      <w:szCs w:val="20"/>
                    </w:rPr>
                    <w:t xml:space="preserve">será obligación del concesionario o contratista contar con un profesional idóneo quien deberá hacer el acompañamiento al Plan de Manejo </w:t>
                  </w:r>
                  <w:r w:rsidRPr="000A62F9">
                    <w:rPr>
                      <w:i/>
                      <w:sz w:val="20"/>
                      <w:szCs w:val="20"/>
                    </w:rPr>
                    <w:lastRenderedPageBreak/>
                    <w:t>Arqueológico bajo los parámetros que hayan sido definidos previamente por el Instituto Colombiano de Antropología e H</w:t>
                  </w:r>
                  <w:r>
                    <w:rPr>
                      <w:i/>
                      <w:sz w:val="20"/>
                      <w:szCs w:val="20"/>
                    </w:rPr>
                    <w:t>istoria. Los proyectos que se encuentran en</w:t>
                  </w:r>
                  <w:r w:rsidRPr="000A62F9">
                    <w:rPr>
                      <w:i/>
                      <w:sz w:val="20"/>
                      <w:szCs w:val="20"/>
                    </w:rPr>
                    <w:t xml:space="preserve"> ejecución al momento de expedición de la presente norma y definida la gestión en cabeza del profesional registrado</w:t>
                  </w:r>
                  <w:r>
                    <w:rPr>
                      <w:i/>
                      <w:sz w:val="20"/>
                      <w:szCs w:val="20"/>
                    </w:rPr>
                    <w:t>, el contratista o concesionario</w:t>
                  </w:r>
                  <w:r w:rsidRPr="000A62F9">
                    <w:rPr>
                      <w:i/>
                      <w:sz w:val="20"/>
                      <w:szCs w:val="20"/>
                    </w:rPr>
                    <w:t xml:space="preserve"> podrá optar por mantener la responsabilidad en cabeza de dicho profesional o adoptar la solución a que hace referencia el presente artículo”.</w:t>
                  </w:r>
                </w:p>
                <w:p w:rsidR="00531C9F" w:rsidRPr="00531C9F" w:rsidRDefault="00531C9F" w:rsidP="00531C9F">
                  <w:pPr>
                    <w:pStyle w:val="Default"/>
                    <w:jc w:val="both"/>
                    <w:rPr>
                      <w:sz w:val="20"/>
                      <w:szCs w:val="20"/>
                    </w:rPr>
                  </w:pPr>
                </w:p>
                <w:p w:rsidR="000A62F9" w:rsidRDefault="000A62F9" w:rsidP="00531C9F">
                  <w:pPr>
                    <w:pStyle w:val="Default"/>
                    <w:jc w:val="both"/>
                    <w:rPr>
                      <w:sz w:val="20"/>
                      <w:szCs w:val="20"/>
                    </w:rPr>
                  </w:pPr>
                  <w:r>
                    <w:rPr>
                      <w:sz w:val="20"/>
                      <w:szCs w:val="20"/>
                    </w:rPr>
                    <w:t xml:space="preserve">Teniendo en cuenta los cambios introducidos por la Ley 1882 de 2018, se hace necesario ajustar los lineamientos contemplaos en el Decreto 1080 de 2012 relacionados con los Programas de Arqueología Preventiva, con el fin de establecer sus fases, alcances y las obligaciones que recaen en cabeza de los solicitantes. </w:t>
                  </w:r>
                </w:p>
                <w:p w:rsidR="000A62F9" w:rsidRDefault="000A62F9" w:rsidP="00531C9F">
                  <w:pPr>
                    <w:pStyle w:val="Default"/>
                    <w:jc w:val="both"/>
                    <w:rPr>
                      <w:sz w:val="20"/>
                      <w:szCs w:val="20"/>
                    </w:rPr>
                  </w:pPr>
                </w:p>
                <w:p w:rsidR="001E4A8A" w:rsidRDefault="000A62F9" w:rsidP="00531C9F">
                  <w:pPr>
                    <w:pStyle w:val="Default"/>
                    <w:jc w:val="both"/>
                    <w:rPr>
                      <w:sz w:val="20"/>
                      <w:szCs w:val="20"/>
                    </w:rPr>
                  </w:pPr>
                  <w:r>
                    <w:rPr>
                      <w:sz w:val="20"/>
                      <w:szCs w:val="20"/>
                    </w:rPr>
                    <w:t xml:space="preserve">Además, </w:t>
                  </w:r>
                  <w:r w:rsidR="00531C9F" w:rsidRPr="00531C9F">
                    <w:rPr>
                      <w:sz w:val="20"/>
                      <w:szCs w:val="20"/>
                    </w:rPr>
                    <w:t xml:space="preserve"> </w:t>
                  </w:r>
                  <w:r>
                    <w:rPr>
                      <w:sz w:val="20"/>
                      <w:szCs w:val="20"/>
                    </w:rPr>
                    <w:t>con el fin de brindar una mayor organización a</w:t>
                  </w:r>
                  <w:r w:rsidR="00531C9F" w:rsidRPr="00531C9F">
                    <w:rPr>
                      <w:sz w:val="20"/>
                      <w:szCs w:val="20"/>
                    </w:rPr>
                    <w:t xml:space="preserve"> las normas relativas a la protección del patrimonio arqueológico, y en aras de eliminar las disposiciones que han perdido vigencia, se reorganiza la Parte VI “Patrimonio Arqueológico” del Decreto 1080 de 2015, Decreto Único Reglamentario del Sector Cultura.</w:t>
                  </w:r>
                </w:p>
                <w:p w:rsidR="00531C9F" w:rsidRPr="00005E76" w:rsidRDefault="00531C9F" w:rsidP="00531C9F">
                  <w:pPr>
                    <w:pStyle w:val="Default"/>
                    <w:jc w:val="both"/>
                    <w:rPr>
                      <w:sz w:val="20"/>
                      <w:szCs w:val="20"/>
                    </w:rPr>
                  </w:pPr>
                </w:p>
              </w:tc>
            </w:tr>
          </w:tbl>
          <w:p w:rsidR="00354FEA" w:rsidRPr="00005E76" w:rsidRDefault="00354FEA" w:rsidP="00354FEA">
            <w:pPr>
              <w:pStyle w:val="Prrafodelista"/>
              <w:ind w:left="0"/>
              <w:jc w:val="both"/>
              <w:rPr>
                <w:rFonts w:ascii="Verdana" w:eastAsiaTheme="minorHAnsi" w:hAnsi="Verdana" w:cs="Verdana"/>
                <w:color w:val="000000"/>
                <w:sz w:val="20"/>
                <w:szCs w:val="20"/>
                <w:lang w:eastAsia="en-US"/>
              </w:rPr>
            </w:pPr>
          </w:p>
        </w:tc>
      </w:tr>
      <w:tr w:rsidR="00354FEA" w:rsidRPr="00005E76" w:rsidTr="00B615FD">
        <w:tc>
          <w:tcPr>
            <w:tcW w:w="9962" w:type="dxa"/>
            <w:shd w:val="clear" w:color="auto" w:fill="F2F2F2" w:themeFill="background1" w:themeFillShade="F2"/>
          </w:tcPr>
          <w:p w:rsidR="00354FEA" w:rsidRPr="00005E76" w:rsidRDefault="00354FEA" w:rsidP="002723EB">
            <w:pPr>
              <w:pStyle w:val="Prrafodelista"/>
              <w:numPr>
                <w:ilvl w:val="0"/>
                <w:numId w:val="1"/>
              </w:numPr>
              <w:jc w:val="center"/>
              <w:rPr>
                <w:rFonts w:ascii="Verdana" w:hAnsi="Verdana" w:cs="Arial"/>
                <w:sz w:val="20"/>
                <w:szCs w:val="20"/>
              </w:rPr>
            </w:pPr>
            <w:r w:rsidRPr="00005E76">
              <w:rPr>
                <w:rFonts w:ascii="Verdana" w:hAnsi="Verdana" w:cs="Arial"/>
                <w:b/>
                <w:sz w:val="20"/>
                <w:szCs w:val="20"/>
              </w:rPr>
              <w:lastRenderedPageBreak/>
              <w:t>Impactos esperados</w:t>
            </w:r>
          </w:p>
        </w:tc>
      </w:tr>
      <w:tr w:rsidR="00354FEA" w:rsidRPr="00005E76" w:rsidTr="00B615FD">
        <w:tc>
          <w:tcPr>
            <w:tcW w:w="9962" w:type="dxa"/>
            <w:shd w:val="clear" w:color="auto" w:fill="auto"/>
          </w:tcPr>
          <w:p w:rsidR="00354FEA" w:rsidRDefault="00354FEA" w:rsidP="00354FEA">
            <w:pPr>
              <w:pStyle w:val="Default"/>
              <w:jc w:val="both"/>
              <w:rPr>
                <w:sz w:val="20"/>
                <w:szCs w:val="20"/>
              </w:rPr>
            </w:pPr>
          </w:p>
          <w:p w:rsidR="00E55BA7" w:rsidRDefault="00354FEA" w:rsidP="00A45199">
            <w:pPr>
              <w:pStyle w:val="Default"/>
              <w:jc w:val="both"/>
              <w:rPr>
                <w:rFonts w:cs="Arial"/>
                <w:b/>
                <w:sz w:val="20"/>
                <w:szCs w:val="20"/>
              </w:rPr>
            </w:pPr>
            <w:r w:rsidRPr="00005E76">
              <w:rPr>
                <w:sz w:val="20"/>
                <w:szCs w:val="20"/>
              </w:rPr>
              <w:t>Con la expedición del presente decreto</w:t>
            </w:r>
            <w:r w:rsidR="00397AC7">
              <w:rPr>
                <w:sz w:val="20"/>
                <w:szCs w:val="20"/>
              </w:rPr>
              <w:t xml:space="preserve"> se </w:t>
            </w:r>
            <w:r w:rsidR="00531C9F">
              <w:rPr>
                <w:sz w:val="20"/>
                <w:szCs w:val="20"/>
              </w:rPr>
              <w:t xml:space="preserve">pretende organizar la </w:t>
            </w:r>
            <w:r w:rsidR="00531C9F" w:rsidRPr="00531C9F">
              <w:rPr>
                <w:sz w:val="20"/>
                <w:szCs w:val="20"/>
              </w:rPr>
              <w:t>Parte VI “Patrimonio Arqueológico” del Decreto 1080 de 2015</w:t>
            </w:r>
            <w:r w:rsidR="00531C9F">
              <w:rPr>
                <w:sz w:val="20"/>
                <w:szCs w:val="20"/>
              </w:rPr>
              <w:t xml:space="preserve"> y establecer </w:t>
            </w:r>
            <w:r w:rsidR="00E07FCA">
              <w:rPr>
                <w:sz w:val="20"/>
                <w:szCs w:val="20"/>
              </w:rPr>
              <w:t xml:space="preserve">lineamientos </w:t>
            </w:r>
            <w:r w:rsidR="00A8453D">
              <w:rPr>
                <w:sz w:val="20"/>
                <w:szCs w:val="20"/>
              </w:rPr>
              <w:t xml:space="preserve">claros </w:t>
            </w:r>
            <w:r w:rsidR="00E07FCA">
              <w:rPr>
                <w:sz w:val="20"/>
                <w:szCs w:val="20"/>
              </w:rPr>
              <w:t>relacionados con</w:t>
            </w:r>
            <w:r w:rsidR="00531C9F">
              <w:rPr>
                <w:sz w:val="20"/>
                <w:szCs w:val="20"/>
              </w:rPr>
              <w:t xml:space="preserve"> los P</w:t>
            </w:r>
            <w:r w:rsidR="00E07FCA">
              <w:rPr>
                <w:sz w:val="20"/>
                <w:szCs w:val="20"/>
              </w:rPr>
              <w:t>rogramas</w:t>
            </w:r>
            <w:r w:rsidR="00531C9F">
              <w:rPr>
                <w:sz w:val="20"/>
                <w:szCs w:val="20"/>
              </w:rPr>
              <w:t xml:space="preserve"> de Arqueología Preventiva</w:t>
            </w:r>
            <w:r w:rsidR="000A62F9">
              <w:rPr>
                <w:sz w:val="20"/>
                <w:szCs w:val="20"/>
              </w:rPr>
              <w:t>, como consecuencia de la expedición de la Ley 1882 de 2018</w:t>
            </w:r>
            <w:r w:rsidR="001E4A8A">
              <w:rPr>
                <w:sz w:val="20"/>
                <w:szCs w:val="20"/>
              </w:rPr>
              <w:t>.</w:t>
            </w:r>
          </w:p>
          <w:p w:rsidR="00531C9F" w:rsidRPr="00005E76" w:rsidRDefault="00531C9F" w:rsidP="00A45199">
            <w:pPr>
              <w:pStyle w:val="Default"/>
              <w:jc w:val="both"/>
              <w:rPr>
                <w:rFonts w:cs="Arial"/>
                <w:b/>
                <w:sz w:val="20"/>
                <w:szCs w:val="20"/>
              </w:rPr>
            </w:pPr>
          </w:p>
        </w:tc>
      </w:tr>
      <w:tr w:rsidR="00354FEA" w:rsidRPr="00005E76" w:rsidTr="00B615FD">
        <w:tc>
          <w:tcPr>
            <w:tcW w:w="9962" w:type="dxa"/>
            <w:shd w:val="clear" w:color="auto" w:fill="auto"/>
          </w:tcPr>
          <w:p w:rsidR="00354FEA" w:rsidRPr="00005E76" w:rsidRDefault="00354FEA" w:rsidP="00655296">
            <w:pPr>
              <w:pStyle w:val="NormalWeb"/>
              <w:spacing w:before="0" w:beforeAutospacing="0" w:after="0" w:afterAutospacing="0"/>
              <w:jc w:val="both"/>
              <w:rPr>
                <w:rFonts w:ascii="Verdana" w:hAnsi="Verdana" w:cs="Arial"/>
                <w:bCs/>
                <w:sz w:val="20"/>
                <w:szCs w:val="20"/>
              </w:rPr>
            </w:pPr>
            <w:r w:rsidRPr="00005E76">
              <w:rPr>
                <w:rFonts w:ascii="Verdana" w:hAnsi="Verdana" w:cs="Arial"/>
                <w:b/>
                <w:bCs/>
                <w:sz w:val="20"/>
                <w:szCs w:val="20"/>
              </w:rPr>
              <w:t>2.1. Oportunidad del proyecto</w:t>
            </w:r>
          </w:p>
        </w:tc>
      </w:tr>
      <w:tr w:rsidR="00354FEA" w:rsidRPr="00005E76" w:rsidTr="00B615FD">
        <w:tc>
          <w:tcPr>
            <w:tcW w:w="9962" w:type="dxa"/>
            <w:shd w:val="clear" w:color="auto" w:fill="auto"/>
          </w:tcPr>
          <w:p w:rsidR="00397AC7" w:rsidRDefault="00397AC7" w:rsidP="00354FEA">
            <w:pPr>
              <w:pStyle w:val="Default"/>
              <w:jc w:val="both"/>
              <w:rPr>
                <w:sz w:val="20"/>
                <w:szCs w:val="20"/>
              </w:rPr>
            </w:pPr>
          </w:p>
          <w:p w:rsidR="00E07FCA" w:rsidRDefault="00397AC7" w:rsidP="00E07FCA">
            <w:pPr>
              <w:pStyle w:val="Default"/>
              <w:jc w:val="both"/>
              <w:rPr>
                <w:sz w:val="20"/>
                <w:szCs w:val="20"/>
              </w:rPr>
            </w:pPr>
            <w:r>
              <w:rPr>
                <w:sz w:val="20"/>
                <w:szCs w:val="20"/>
              </w:rPr>
              <w:t>Es el momento o</w:t>
            </w:r>
            <w:r w:rsidR="00977F87">
              <w:rPr>
                <w:sz w:val="20"/>
                <w:szCs w:val="20"/>
              </w:rPr>
              <w:t>portuno para la expedición del presente D</w:t>
            </w:r>
            <w:r>
              <w:rPr>
                <w:sz w:val="20"/>
                <w:szCs w:val="20"/>
              </w:rPr>
              <w:t>ecreto</w:t>
            </w:r>
            <w:r w:rsidR="00977F87">
              <w:rPr>
                <w:sz w:val="20"/>
                <w:szCs w:val="20"/>
              </w:rPr>
              <w:t xml:space="preserve"> reglamentario</w:t>
            </w:r>
            <w:r>
              <w:rPr>
                <w:sz w:val="20"/>
                <w:szCs w:val="20"/>
              </w:rPr>
              <w:t xml:space="preserve">, </w:t>
            </w:r>
            <w:r w:rsidR="00A45199">
              <w:rPr>
                <w:sz w:val="20"/>
                <w:szCs w:val="20"/>
              </w:rPr>
              <w:t xml:space="preserve">teniendo en cuenta </w:t>
            </w:r>
            <w:r w:rsidR="000A62F9">
              <w:rPr>
                <w:sz w:val="20"/>
                <w:szCs w:val="20"/>
              </w:rPr>
              <w:t xml:space="preserve">la expedición de la Ley 1882 de 2018, </w:t>
            </w:r>
            <w:r w:rsidR="00E07FCA">
              <w:rPr>
                <w:sz w:val="20"/>
                <w:szCs w:val="20"/>
              </w:rPr>
              <w:t>que</w:t>
            </w:r>
            <w:r w:rsidR="00E07FCA" w:rsidRPr="00531C9F">
              <w:rPr>
                <w:sz w:val="20"/>
                <w:szCs w:val="20"/>
              </w:rPr>
              <w:t xml:space="preserve"> adicionó un inciso al numeral 2 del artículo 11 de la Ley 397 de 1997, modificado por el artículo 7 de la Ley 1185 de 2008</w:t>
            </w:r>
            <w:r w:rsidR="000A62F9">
              <w:rPr>
                <w:sz w:val="20"/>
                <w:szCs w:val="20"/>
              </w:rPr>
              <w:t>.</w:t>
            </w:r>
          </w:p>
          <w:p w:rsidR="00E07FCA" w:rsidRDefault="00E07FCA" w:rsidP="00E07FCA">
            <w:pPr>
              <w:pStyle w:val="Default"/>
              <w:jc w:val="both"/>
              <w:rPr>
                <w:sz w:val="20"/>
                <w:szCs w:val="20"/>
              </w:rPr>
            </w:pPr>
          </w:p>
          <w:p w:rsidR="00A45199" w:rsidRDefault="000A62F9" w:rsidP="006C0763">
            <w:pPr>
              <w:pStyle w:val="Default"/>
              <w:jc w:val="both"/>
              <w:rPr>
                <w:sz w:val="20"/>
                <w:szCs w:val="20"/>
              </w:rPr>
            </w:pPr>
            <w:r>
              <w:rPr>
                <w:sz w:val="20"/>
                <w:szCs w:val="20"/>
              </w:rPr>
              <w:t>Resulta oportuna la modificación, a su vez, para brindar claridad sobre el régimen de protección aplicable al patrimonio arqueol</w:t>
            </w:r>
            <w:r w:rsidR="006C0763">
              <w:rPr>
                <w:sz w:val="20"/>
                <w:szCs w:val="20"/>
              </w:rPr>
              <w:t xml:space="preserve">ógico, que permita la confluencia de los intereses del Estado en materia de protección del patrimonio arqueológico y el desarrollo de proyectos productivos, al permitir la incorporación armoniosa de dichos lineamientos en la ejecución de procesos de infraestructura, de hidrocarburos, entre otros. </w:t>
            </w:r>
          </w:p>
          <w:p w:rsidR="006C0763" w:rsidRPr="00005E76" w:rsidRDefault="006C0763" w:rsidP="006C0763">
            <w:pPr>
              <w:pStyle w:val="Default"/>
              <w:jc w:val="both"/>
              <w:rPr>
                <w:rFonts w:cs="Arial"/>
                <w:bCs/>
                <w:sz w:val="20"/>
                <w:szCs w:val="20"/>
              </w:rPr>
            </w:pPr>
          </w:p>
        </w:tc>
      </w:tr>
      <w:tr w:rsidR="00354FEA" w:rsidRPr="00005E76" w:rsidTr="00B615FD">
        <w:tc>
          <w:tcPr>
            <w:tcW w:w="9962" w:type="dxa"/>
            <w:shd w:val="clear" w:color="auto" w:fill="auto"/>
          </w:tcPr>
          <w:p w:rsidR="00354FEA" w:rsidRPr="00005E76" w:rsidRDefault="00354FEA" w:rsidP="00354FEA">
            <w:pPr>
              <w:pStyle w:val="NormalWeb"/>
              <w:spacing w:before="0" w:beforeAutospacing="0" w:after="0" w:afterAutospacing="0"/>
              <w:jc w:val="both"/>
              <w:rPr>
                <w:rFonts w:ascii="Verdana" w:hAnsi="Verdana" w:cs="Arial"/>
                <w:bCs/>
                <w:sz w:val="20"/>
                <w:szCs w:val="20"/>
              </w:rPr>
            </w:pPr>
            <w:r w:rsidRPr="00005E76">
              <w:rPr>
                <w:rFonts w:ascii="Verdana" w:hAnsi="Verdana" w:cs="Arial"/>
                <w:b/>
                <w:bCs/>
                <w:sz w:val="20"/>
                <w:szCs w:val="20"/>
              </w:rPr>
              <w:t>2.2. Impacto jurídico</w:t>
            </w:r>
          </w:p>
        </w:tc>
      </w:tr>
      <w:tr w:rsidR="00354FEA" w:rsidRPr="00005E76" w:rsidTr="00B615FD">
        <w:tc>
          <w:tcPr>
            <w:tcW w:w="9962" w:type="dxa"/>
            <w:shd w:val="clear" w:color="auto" w:fill="auto"/>
          </w:tcPr>
          <w:p w:rsidR="00354FEA" w:rsidRPr="00005E76" w:rsidRDefault="00354FEA" w:rsidP="00354FEA">
            <w:pPr>
              <w:pStyle w:val="Default"/>
              <w:jc w:val="both"/>
              <w:rPr>
                <w:sz w:val="20"/>
                <w:szCs w:val="20"/>
              </w:rPr>
            </w:pPr>
          </w:p>
          <w:p w:rsidR="006C0763" w:rsidRDefault="00397AC7" w:rsidP="00977F87">
            <w:pPr>
              <w:pStyle w:val="Default"/>
              <w:jc w:val="both"/>
              <w:rPr>
                <w:sz w:val="20"/>
                <w:szCs w:val="20"/>
              </w:rPr>
            </w:pPr>
            <w:r>
              <w:rPr>
                <w:sz w:val="20"/>
                <w:szCs w:val="20"/>
              </w:rPr>
              <w:t>Con</w:t>
            </w:r>
            <w:r w:rsidR="002839BF">
              <w:rPr>
                <w:sz w:val="20"/>
                <w:szCs w:val="20"/>
              </w:rPr>
              <w:t xml:space="preserve"> la expedición del proyecto de D</w:t>
            </w:r>
            <w:r w:rsidR="00354FEA" w:rsidRPr="00005E76">
              <w:rPr>
                <w:sz w:val="20"/>
                <w:szCs w:val="20"/>
              </w:rPr>
              <w:t>ecret</w:t>
            </w:r>
            <w:r>
              <w:rPr>
                <w:sz w:val="20"/>
                <w:szCs w:val="20"/>
              </w:rPr>
              <w:t xml:space="preserve">o </w:t>
            </w:r>
            <w:r w:rsidR="00354FEA" w:rsidRPr="00005E76">
              <w:rPr>
                <w:sz w:val="20"/>
                <w:szCs w:val="20"/>
              </w:rPr>
              <w:t xml:space="preserve">se </w:t>
            </w:r>
            <w:r w:rsidR="006C0763">
              <w:rPr>
                <w:sz w:val="20"/>
                <w:szCs w:val="20"/>
              </w:rPr>
              <w:t>responde a las siguientes necesidades:</w:t>
            </w:r>
          </w:p>
          <w:p w:rsidR="006C0763" w:rsidRDefault="006C0763" w:rsidP="00977F87">
            <w:pPr>
              <w:pStyle w:val="Default"/>
              <w:jc w:val="both"/>
              <w:rPr>
                <w:sz w:val="20"/>
                <w:szCs w:val="20"/>
              </w:rPr>
            </w:pPr>
          </w:p>
          <w:p w:rsidR="00354FEA" w:rsidRDefault="006C0763" w:rsidP="006C0763">
            <w:pPr>
              <w:pStyle w:val="Default"/>
              <w:numPr>
                <w:ilvl w:val="0"/>
                <w:numId w:val="4"/>
              </w:numPr>
              <w:jc w:val="both"/>
              <w:rPr>
                <w:sz w:val="20"/>
                <w:szCs w:val="20"/>
              </w:rPr>
            </w:pPr>
            <w:r>
              <w:rPr>
                <w:sz w:val="20"/>
                <w:szCs w:val="20"/>
              </w:rPr>
              <w:t>O</w:t>
            </w:r>
            <w:r w:rsidR="00531C9F">
              <w:rPr>
                <w:sz w:val="20"/>
                <w:szCs w:val="20"/>
              </w:rPr>
              <w:t xml:space="preserve">rganización, actualización y complemento de la </w:t>
            </w:r>
            <w:r w:rsidR="00531C9F" w:rsidRPr="00531C9F">
              <w:rPr>
                <w:sz w:val="20"/>
                <w:szCs w:val="20"/>
              </w:rPr>
              <w:t>Parte VI “Patrimonio Arqueológico” del Decreto 1080 de 2015</w:t>
            </w:r>
            <w:r w:rsidR="00D62FF6">
              <w:rPr>
                <w:sz w:val="20"/>
                <w:szCs w:val="20"/>
              </w:rPr>
              <w:t>.</w:t>
            </w:r>
          </w:p>
          <w:p w:rsidR="006C0763" w:rsidRDefault="006C0763" w:rsidP="006C0763">
            <w:pPr>
              <w:pStyle w:val="Default"/>
              <w:numPr>
                <w:ilvl w:val="0"/>
                <w:numId w:val="4"/>
              </w:numPr>
              <w:jc w:val="both"/>
              <w:rPr>
                <w:sz w:val="20"/>
                <w:szCs w:val="20"/>
              </w:rPr>
            </w:pPr>
            <w:r>
              <w:rPr>
                <w:sz w:val="20"/>
                <w:szCs w:val="20"/>
              </w:rPr>
              <w:t>Creación de unos lineamientos claros sobre la procedencia de las autorizaciones de intervención y aprobación de Programas de Arqueología Preventiva.</w:t>
            </w:r>
          </w:p>
          <w:p w:rsidR="006C0763" w:rsidRDefault="006C0763" w:rsidP="006C0763">
            <w:pPr>
              <w:pStyle w:val="Default"/>
              <w:numPr>
                <w:ilvl w:val="0"/>
                <w:numId w:val="4"/>
              </w:numPr>
              <w:jc w:val="both"/>
              <w:rPr>
                <w:sz w:val="20"/>
                <w:szCs w:val="20"/>
              </w:rPr>
            </w:pPr>
            <w:r>
              <w:rPr>
                <w:sz w:val="20"/>
                <w:szCs w:val="20"/>
              </w:rPr>
              <w:t>Simplificación de procesos.</w:t>
            </w:r>
          </w:p>
          <w:p w:rsidR="00D62FF6" w:rsidRPr="00005E76" w:rsidRDefault="00D62FF6" w:rsidP="00D62FF6">
            <w:pPr>
              <w:pStyle w:val="Default"/>
              <w:jc w:val="both"/>
              <w:rPr>
                <w:rFonts w:cs="Arial"/>
                <w:bCs/>
                <w:sz w:val="20"/>
                <w:szCs w:val="20"/>
              </w:rPr>
            </w:pPr>
          </w:p>
        </w:tc>
      </w:tr>
      <w:tr w:rsidR="00354FEA" w:rsidRPr="00005E76" w:rsidTr="00B615FD">
        <w:tc>
          <w:tcPr>
            <w:tcW w:w="9962" w:type="dxa"/>
            <w:shd w:val="clear" w:color="auto" w:fill="auto"/>
          </w:tcPr>
          <w:p w:rsidR="00354FEA" w:rsidRPr="00005E76" w:rsidRDefault="00354FEA" w:rsidP="00655296">
            <w:pPr>
              <w:pStyle w:val="NormalWeb"/>
              <w:spacing w:before="0" w:beforeAutospacing="0" w:after="0" w:afterAutospacing="0"/>
              <w:jc w:val="both"/>
              <w:rPr>
                <w:rFonts w:ascii="Verdana" w:hAnsi="Verdana" w:cs="Arial"/>
                <w:b/>
                <w:bCs/>
                <w:sz w:val="20"/>
                <w:szCs w:val="20"/>
              </w:rPr>
            </w:pPr>
            <w:r w:rsidRPr="00005E76">
              <w:rPr>
                <w:rFonts w:ascii="Verdana" w:hAnsi="Verdana" w:cs="Arial"/>
                <w:b/>
                <w:bCs/>
                <w:sz w:val="20"/>
                <w:szCs w:val="20"/>
              </w:rPr>
              <w:t>2.3. Impacto económic</w:t>
            </w:r>
            <w:r w:rsidR="0003784A" w:rsidRPr="00005E76">
              <w:rPr>
                <w:rFonts w:ascii="Verdana" w:hAnsi="Verdana" w:cs="Arial"/>
                <w:b/>
                <w:bCs/>
                <w:sz w:val="20"/>
                <w:szCs w:val="20"/>
              </w:rPr>
              <w:t>o</w:t>
            </w:r>
          </w:p>
        </w:tc>
      </w:tr>
      <w:tr w:rsidR="00354FEA" w:rsidRPr="00005E76" w:rsidTr="00B615FD">
        <w:tc>
          <w:tcPr>
            <w:tcW w:w="9962" w:type="dxa"/>
            <w:shd w:val="clear" w:color="auto" w:fill="auto"/>
          </w:tcPr>
          <w:p w:rsidR="0003784A" w:rsidRPr="00005E76" w:rsidRDefault="0003784A" w:rsidP="0003784A">
            <w:pPr>
              <w:pStyle w:val="Default"/>
              <w:jc w:val="both"/>
              <w:rPr>
                <w:sz w:val="20"/>
                <w:szCs w:val="20"/>
              </w:rPr>
            </w:pPr>
          </w:p>
          <w:p w:rsidR="00C270AC" w:rsidRDefault="001E4A8A" w:rsidP="00C270AC">
            <w:pPr>
              <w:pStyle w:val="Default"/>
              <w:jc w:val="both"/>
              <w:rPr>
                <w:sz w:val="20"/>
                <w:szCs w:val="20"/>
              </w:rPr>
            </w:pPr>
            <w:r w:rsidRPr="00005E76">
              <w:rPr>
                <w:sz w:val="20"/>
                <w:szCs w:val="20"/>
              </w:rPr>
              <w:t xml:space="preserve">La expedición del proyecto normativo </w:t>
            </w:r>
            <w:r>
              <w:rPr>
                <w:sz w:val="20"/>
                <w:szCs w:val="20"/>
              </w:rPr>
              <w:t xml:space="preserve">tendrá </w:t>
            </w:r>
            <w:r w:rsidR="006C0763">
              <w:rPr>
                <w:sz w:val="20"/>
                <w:szCs w:val="20"/>
              </w:rPr>
              <w:t xml:space="preserve">un </w:t>
            </w:r>
            <w:r>
              <w:rPr>
                <w:sz w:val="20"/>
                <w:szCs w:val="20"/>
              </w:rPr>
              <w:t>impacto económico</w:t>
            </w:r>
            <w:r w:rsidR="006C0763">
              <w:rPr>
                <w:sz w:val="20"/>
                <w:szCs w:val="20"/>
              </w:rPr>
              <w:t xml:space="preserve"> deseable, dado que pretende facilitar los procesos de aprobación de Programas de Arqueología Preventiva en proyectos que requieran licencia ambiental, permitiendo que los sectores productivos realicen sus proyectos de manera más eficiente.</w:t>
            </w:r>
          </w:p>
          <w:p w:rsidR="00ED4014" w:rsidRPr="00005E76" w:rsidRDefault="00ED4014" w:rsidP="008D2CAE">
            <w:pPr>
              <w:pStyle w:val="Default"/>
              <w:jc w:val="both"/>
              <w:rPr>
                <w:sz w:val="20"/>
                <w:szCs w:val="20"/>
              </w:rPr>
            </w:pPr>
          </w:p>
        </w:tc>
      </w:tr>
      <w:tr w:rsidR="00354FEA" w:rsidRPr="00005E76" w:rsidTr="00B615FD">
        <w:tc>
          <w:tcPr>
            <w:tcW w:w="9962" w:type="dxa"/>
            <w:shd w:val="clear" w:color="auto" w:fill="auto"/>
          </w:tcPr>
          <w:p w:rsidR="00354FEA" w:rsidRPr="00005E76" w:rsidRDefault="0003784A" w:rsidP="00655296">
            <w:pPr>
              <w:pStyle w:val="NormalWeb"/>
              <w:spacing w:before="0" w:beforeAutospacing="0" w:after="0" w:afterAutospacing="0"/>
              <w:jc w:val="both"/>
              <w:rPr>
                <w:rFonts w:ascii="Verdana" w:hAnsi="Verdana" w:cs="Arial"/>
                <w:b/>
                <w:bCs/>
                <w:sz w:val="20"/>
                <w:szCs w:val="20"/>
              </w:rPr>
            </w:pPr>
            <w:r w:rsidRPr="00005E76">
              <w:rPr>
                <w:rFonts w:ascii="Verdana" w:hAnsi="Verdana" w:cs="Arial"/>
                <w:b/>
                <w:bCs/>
                <w:sz w:val="20"/>
                <w:szCs w:val="20"/>
              </w:rPr>
              <w:lastRenderedPageBreak/>
              <w:t>2.4. Impacto presupuestal</w:t>
            </w:r>
          </w:p>
        </w:tc>
      </w:tr>
      <w:tr w:rsidR="0003784A" w:rsidRPr="00005E76" w:rsidTr="00B615FD">
        <w:tc>
          <w:tcPr>
            <w:tcW w:w="9962" w:type="dxa"/>
            <w:shd w:val="clear" w:color="auto" w:fill="auto"/>
          </w:tcPr>
          <w:p w:rsidR="0003784A" w:rsidRPr="00005E76" w:rsidRDefault="0003784A" w:rsidP="0003784A">
            <w:pPr>
              <w:pStyle w:val="Default"/>
              <w:jc w:val="both"/>
              <w:rPr>
                <w:sz w:val="20"/>
                <w:szCs w:val="20"/>
              </w:rPr>
            </w:pPr>
          </w:p>
          <w:p w:rsidR="0003784A" w:rsidRPr="00005E76" w:rsidRDefault="0003784A" w:rsidP="0003784A">
            <w:pPr>
              <w:pStyle w:val="Default"/>
              <w:jc w:val="both"/>
              <w:rPr>
                <w:sz w:val="20"/>
                <w:szCs w:val="20"/>
              </w:rPr>
            </w:pPr>
            <w:r w:rsidRPr="00005E76">
              <w:rPr>
                <w:sz w:val="20"/>
                <w:szCs w:val="20"/>
              </w:rPr>
              <w:t xml:space="preserve">La expedición del proyecto normativo no </w:t>
            </w:r>
            <w:r w:rsidR="008D2CAE">
              <w:rPr>
                <w:sz w:val="20"/>
                <w:szCs w:val="20"/>
              </w:rPr>
              <w:t xml:space="preserve">implica costos fiscales, ni </w:t>
            </w:r>
            <w:r w:rsidRPr="00005E76">
              <w:rPr>
                <w:sz w:val="20"/>
                <w:szCs w:val="20"/>
              </w:rPr>
              <w:t xml:space="preserve">requiere de Certificado de Disponibilidad Presupuestal. </w:t>
            </w:r>
          </w:p>
          <w:p w:rsidR="0003784A" w:rsidRPr="00005E76" w:rsidRDefault="0003784A" w:rsidP="0003784A">
            <w:pPr>
              <w:pStyle w:val="NormalWeb"/>
              <w:spacing w:before="0" w:beforeAutospacing="0" w:after="0" w:afterAutospacing="0"/>
              <w:jc w:val="both"/>
              <w:rPr>
                <w:rFonts w:ascii="Verdana" w:hAnsi="Verdana" w:cs="Arial"/>
                <w:b/>
                <w:bCs/>
                <w:sz w:val="20"/>
                <w:szCs w:val="20"/>
              </w:rPr>
            </w:pPr>
          </w:p>
        </w:tc>
      </w:tr>
      <w:tr w:rsidR="00354FEA" w:rsidRPr="00005E76" w:rsidTr="00B615FD">
        <w:tc>
          <w:tcPr>
            <w:tcW w:w="9962" w:type="dxa"/>
            <w:shd w:val="clear" w:color="auto" w:fill="auto"/>
          </w:tcPr>
          <w:p w:rsidR="00354FEA" w:rsidRPr="00005E76" w:rsidRDefault="00354FEA" w:rsidP="00655296">
            <w:pPr>
              <w:pStyle w:val="NormalWeb"/>
              <w:spacing w:before="0" w:beforeAutospacing="0" w:after="0" w:afterAutospacing="0"/>
              <w:jc w:val="both"/>
              <w:rPr>
                <w:rFonts w:ascii="Verdana" w:hAnsi="Verdana" w:cs="Arial"/>
                <w:b/>
                <w:sz w:val="20"/>
                <w:szCs w:val="20"/>
              </w:rPr>
            </w:pPr>
            <w:r w:rsidRPr="00005E76">
              <w:rPr>
                <w:rFonts w:ascii="Verdana" w:hAnsi="Verdana" w:cs="Arial"/>
                <w:b/>
                <w:sz w:val="20"/>
                <w:szCs w:val="20"/>
              </w:rPr>
              <w:t>2.5. Impacto ambiental, ecológico</w:t>
            </w:r>
            <w:r w:rsidR="0003784A" w:rsidRPr="00005E76">
              <w:rPr>
                <w:rFonts w:ascii="Verdana" w:hAnsi="Verdana" w:cs="Arial"/>
                <w:b/>
                <w:sz w:val="20"/>
                <w:szCs w:val="20"/>
              </w:rPr>
              <w:t xml:space="preserve"> y sobre el patrimonio cultural</w:t>
            </w:r>
          </w:p>
        </w:tc>
      </w:tr>
      <w:tr w:rsidR="00354FEA" w:rsidRPr="00005E76" w:rsidTr="00B615FD">
        <w:tc>
          <w:tcPr>
            <w:tcW w:w="9962" w:type="dxa"/>
            <w:shd w:val="clear" w:color="auto" w:fill="auto"/>
          </w:tcPr>
          <w:p w:rsidR="0003784A" w:rsidRPr="00005E76" w:rsidRDefault="0003784A" w:rsidP="0003784A">
            <w:pPr>
              <w:pStyle w:val="Default"/>
              <w:jc w:val="both"/>
              <w:rPr>
                <w:sz w:val="20"/>
                <w:szCs w:val="20"/>
              </w:rPr>
            </w:pPr>
          </w:p>
          <w:p w:rsidR="006C0763" w:rsidRDefault="001E4A8A" w:rsidP="00B87E36">
            <w:pPr>
              <w:pStyle w:val="Default"/>
              <w:jc w:val="both"/>
              <w:rPr>
                <w:sz w:val="20"/>
                <w:szCs w:val="20"/>
              </w:rPr>
            </w:pPr>
            <w:r>
              <w:rPr>
                <w:sz w:val="20"/>
                <w:szCs w:val="20"/>
              </w:rPr>
              <w:t xml:space="preserve">La expedición del presente Decreto modificatorio </w:t>
            </w:r>
            <w:r w:rsidR="00B87E36">
              <w:rPr>
                <w:sz w:val="20"/>
                <w:szCs w:val="20"/>
              </w:rPr>
              <w:t xml:space="preserve">no tendrá un impacto </w:t>
            </w:r>
            <w:r w:rsidR="006C0763">
              <w:rPr>
                <w:sz w:val="20"/>
                <w:szCs w:val="20"/>
              </w:rPr>
              <w:t>ambiental o</w:t>
            </w:r>
            <w:r w:rsidR="00B87E36" w:rsidRPr="00B87E36">
              <w:rPr>
                <w:sz w:val="20"/>
                <w:szCs w:val="20"/>
              </w:rPr>
              <w:t xml:space="preserve"> ecológico</w:t>
            </w:r>
            <w:r w:rsidR="006C0763">
              <w:rPr>
                <w:sz w:val="20"/>
                <w:szCs w:val="20"/>
              </w:rPr>
              <w:t>.</w:t>
            </w:r>
          </w:p>
          <w:p w:rsidR="006C0763" w:rsidRDefault="006C0763" w:rsidP="00B87E36">
            <w:pPr>
              <w:pStyle w:val="Default"/>
              <w:jc w:val="both"/>
              <w:rPr>
                <w:sz w:val="20"/>
                <w:szCs w:val="20"/>
              </w:rPr>
            </w:pPr>
          </w:p>
          <w:p w:rsidR="00E80797" w:rsidRDefault="006C0763" w:rsidP="00B87E36">
            <w:pPr>
              <w:pStyle w:val="Default"/>
              <w:jc w:val="both"/>
              <w:rPr>
                <w:sz w:val="20"/>
                <w:szCs w:val="20"/>
              </w:rPr>
            </w:pPr>
            <w:r>
              <w:rPr>
                <w:sz w:val="20"/>
                <w:szCs w:val="20"/>
              </w:rPr>
              <w:t xml:space="preserve">Con relación al </w:t>
            </w:r>
            <w:r w:rsidR="00B87E36" w:rsidRPr="00B87E36">
              <w:rPr>
                <w:sz w:val="20"/>
                <w:szCs w:val="20"/>
              </w:rPr>
              <w:t>patrimonio cultural</w:t>
            </w:r>
            <w:r>
              <w:rPr>
                <w:sz w:val="20"/>
                <w:szCs w:val="20"/>
              </w:rPr>
              <w:t>, el proyecto de Decreto favorece la protección del patrimonio arqueológico gracias a la organización, actualización y complemento de su régimen de protección.</w:t>
            </w:r>
          </w:p>
          <w:p w:rsidR="00B87E36" w:rsidRPr="00005E76" w:rsidRDefault="00B87E36" w:rsidP="00B87E36">
            <w:pPr>
              <w:pStyle w:val="Default"/>
              <w:jc w:val="both"/>
              <w:rPr>
                <w:rFonts w:cs="Arial"/>
                <w:sz w:val="20"/>
                <w:szCs w:val="20"/>
              </w:rPr>
            </w:pPr>
          </w:p>
        </w:tc>
      </w:tr>
      <w:tr w:rsidR="00354FEA" w:rsidRPr="00005E76" w:rsidTr="00B615FD">
        <w:tc>
          <w:tcPr>
            <w:tcW w:w="9962" w:type="dxa"/>
            <w:shd w:val="clear" w:color="auto" w:fill="F2F2F2" w:themeFill="background1" w:themeFillShade="F2"/>
          </w:tcPr>
          <w:p w:rsidR="00354FEA" w:rsidRPr="00005E76" w:rsidRDefault="00354FEA" w:rsidP="002723EB">
            <w:pPr>
              <w:pStyle w:val="Prrafodelista"/>
              <w:numPr>
                <w:ilvl w:val="0"/>
                <w:numId w:val="1"/>
              </w:numPr>
              <w:jc w:val="center"/>
              <w:rPr>
                <w:rFonts w:ascii="Verdana" w:hAnsi="Verdana" w:cs="Arial"/>
                <w:b/>
                <w:sz w:val="20"/>
                <w:szCs w:val="20"/>
              </w:rPr>
            </w:pPr>
            <w:r w:rsidRPr="00005E76">
              <w:rPr>
                <w:rFonts w:ascii="Verdana" w:hAnsi="Verdana" w:cs="Arial"/>
                <w:b/>
                <w:sz w:val="20"/>
                <w:szCs w:val="20"/>
              </w:rPr>
              <w:t>Ámbito de aplicación y sujetos destinatarios</w:t>
            </w:r>
          </w:p>
        </w:tc>
      </w:tr>
      <w:tr w:rsidR="00354FEA" w:rsidRPr="00005E76" w:rsidTr="00B615FD">
        <w:tc>
          <w:tcPr>
            <w:tcW w:w="9962" w:type="dxa"/>
            <w:shd w:val="clear" w:color="auto" w:fill="auto"/>
          </w:tcPr>
          <w:p w:rsidR="00354FEA" w:rsidRPr="00005E76" w:rsidRDefault="00354FEA" w:rsidP="00655296">
            <w:pPr>
              <w:jc w:val="both"/>
              <w:rPr>
                <w:rFonts w:ascii="Verdana" w:hAnsi="Verdana" w:cs="Arial"/>
                <w:sz w:val="20"/>
                <w:szCs w:val="20"/>
              </w:rPr>
            </w:pPr>
            <w:r w:rsidRPr="00005E76">
              <w:rPr>
                <w:rFonts w:ascii="Verdana" w:hAnsi="Verdana" w:cs="Arial"/>
                <w:b/>
                <w:sz w:val="20"/>
                <w:szCs w:val="20"/>
              </w:rPr>
              <w:t>3.1. Ámbito de aplicación</w:t>
            </w:r>
            <w:r w:rsidRPr="00005E76">
              <w:rPr>
                <w:rFonts w:ascii="Verdana" w:hAnsi="Verdana" w:cs="Arial"/>
                <w:sz w:val="20"/>
                <w:szCs w:val="20"/>
              </w:rPr>
              <w:t xml:space="preserve"> </w:t>
            </w:r>
          </w:p>
        </w:tc>
      </w:tr>
      <w:tr w:rsidR="00354FEA" w:rsidRPr="00005E76" w:rsidTr="00B615FD">
        <w:tc>
          <w:tcPr>
            <w:tcW w:w="9962" w:type="dxa"/>
            <w:shd w:val="clear" w:color="auto" w:fill="auto"/>
          </w:tcPr>
          <w:p w:rsidR="0003784A" w:rsidRDefault="0003784A" w:rsidP="0003784A">
            <w:pPr>
              <w:pStyle w:val="Default"/>
              <w:jc w:val="both"/>
              <w:rPr>
                <w:sz w:val="20"/>
                <w:szCs w:val="20"/>
              </w:rPr>
            </w:pPr>
          </w:p>
          <w:p w:rsidR="00531C9F" w:rsidRDefault="00275B1F" w:rsidP="0003784A">
            <w:pPr>
              <w:pStyle w:val="Default"/>
              <w:jc w:val="both"/>
              <w:rPr>
                <w:sz w:val="20"/>
                <w:szCs w:val="20"/>
              </w:rPr>
            </w:pPr>
            <w:r w:rsidRPr="00275B1F">
              <w:rPr>
                <w:sz w:val="20"/>
                <w:szCs w:val="20"/>
              </w:rPr>
              <w:t xml:space="preserve">El presente Decreto </w:t>
            </w:r>
            <w:r w:rsidR="008D2CAE">
              <w:rPr>
                <w:sz w:val="20"/>
                <w:szCs w:val="20"/>
              </w:rPr>
              <w:t xml:space="preserve">tendrá aplicación </w:t>
            </w:r>
            <w:r w:rsidR="001E4A8A">
              <w:rPr>
                <w:sz w:val="20"/>
                <w:szCs w:val="20"/>
              </w:rPr>
              <w:t>en todo el territorio nacional</w:t>
            </w:r>
            <w:r w:rsidR="00B87E36">
              <w:rPr>
                <w:sz w:val="20"/>
                <w:szCs w:val="20"/>
              </w:rPr>
              <w:t>.</w:t>
            </w:r>
          </w:p>
          <w:p w:rsidR="00531C9F" w:rsidRPr="00005E76" w:rsidRDefault="00531C9F" w:rsidP="0003784A">
            <w:pPr>
              <w:pStyle w:val="Default"/>
              <w:jc w:val="both"/>
              <w:rPr>
                <w:sz w:val="20"/>
                <w:szCs w:val="20"/>
              </w:rPr>
            </w:pPr>
          </w:p>
        </w:tc>
      </w:tr>
      <w:tr w:rsidR="00354FEA" w:rsidRPr="00005E76" w:rsidTr="00B615FD">
        <w:tc>
          <w:tcPr>
            <w:tcW w:w="9962" w:type="dxa"/>
            <w:shd w:val="clear" w:color="auto" w:fill="auto"/>
          </w:tcPr>
          <w:p w:rsidR="00354FEA" w:rsidRPr="00005E76" w:rsidRDefault="00354FEA" w:rsidP="00655296">
            <w:pPr>
              <w:jc w:val="both"/>
              <w:rPr>
                <w:rFonts w:ascii="Verdana" w:hAnsi="Verdana" w:cs="Arial"/>
                <w:sz w:val="20"/>
                <w:szCs w:val="20"/>
              </w:rPr>
            </w:pPr>
            <w:r w:rsidRPr="00005E76">
              <w:rPr>
                <w:rFonts w:ascii="Verdana" w:hAnsi="Verdana" w:cs="Arial"/>
                <w:b/>
                <w:sz w:val="20"/>
                <w:szCs w:val="20"/>
              </w:rPr>
              <w:t>3.2. Sujetos Beneficiarios</w:t>
            </w:r>
          </w:p>
        </w:tc>
      </w:tr>
      <w:tr w:rsidR="00354FEA" w:rsidRPr="00005E76" w:rsidTr="00B615FD">
        <w:tc>
          <w:tcPr>
            <w:tcW w:w="9962" w:type="dxa"/>
            <w:shd w:val="clear" w:color="auto" w:fill="auto"/>
          </w:tcPr>
          <w:p w:rsidR="00746D1E" w:rsidRDefault="00746D1E" w:rsidP="00E80797">
            <w:pPr>
              <w:pStyle w:val="Default"/>
              <w:jc w:val="both"/>
              <w:rPr>
                <w:sz w:val="20"/>
                <w:szCs w:val="20"/>
              </w:rPr>
            </w:pPr>
          </w:p>
          <w:p w:rsidR="001E4A8A" w:rsidRDefault="001E4A8A" w:rsidP="00E80797">
            <w:pPr>
              <w:pStyle w:val="Default"/>
              <w:jc w:val="both"/>
              <w:rPr>
                <w:sz w:val="20"/>
                <w:szCs w:val="20"/>
              </w:rPr>
            </w:pPr>
            <w:r>
              <w:rPr>
                <w:sz w:val="20"/>
                <w:szCs w:val="20"/>
              </w:rPr>
              <w:t xml:space="preserve">El presente Decreto beneficiará todo </w:t>
            </w:r>
            <w:r w:rsidR="00531C9F">
              <w:rPr>
                <w:sz w:val="20"/>
                <w:szCs w:val="20"/>
              </w:rPr>
              <w:t>el sector cultural de la Nación</w:t>
            </w:r>
            <w:r w:rsidR="006C0763">
              <w:rPr>
                <w:sz w:val="20"/>
                <w:szCs w:val="20"/>
              </w:rPr>
              <w:t>, así como a los sectores productivos que deben tramitar licencias ambientales para el desarrollo de proyectos</w:t>
            </w:r>
            <w:r w:rsidRPr="001E4A8A">
              <w:rPr>
                <w:sz w:val="20"/>
                <w:szCs w:val="20"/>
              </w:rPr>
              <w:t>.</w:t>
            </w:r>
          </w:p>
          <w:p w:rsidR="00E80797" w:rsidRPr="00005E76" w:rsidRDefault="00E80797" w:rsidP="00E80797">
            <w:pPr>
              <w:pStyle w:val="Default"/>
              <w:jc w:val="both"/>
              <w:rPr>
                <w:rFonts w:cs="Arial"/>
                <w:sz w:val="20"/>
                <w:szCs w:val="20"/>
              </w:rPr>
            </w:pPr>
          </w:p>
        </w:tc>
      </w:tr>
      <w:tr w:rsidR="00354FEA" w:rsidRPr="00005E76" w:rsidTr="00B615FD">
        <w:tc>
          <w:tcPr>
            <w:tcW w:w="9962" w:type="dxa"/>
            <w:shd w:val="clear" w:color="auto" w:fill="F2F2F2" w:themeFill="background1" w:themeFillShade="F2"/>
          </w:tcPr>
          <w:p w:rsidR="00354FEA" w:rsidRPr="00005E76" w:rsidRDefault="00354FEA" w:rsidP="002723EB">
            <w:pPr>
              <w:numPr>
                <w:ilvl w:val="0"/>
                <w:numId w:val="1"/>
              </w:numPr>
              <w:jc w:val="center"/>
              <w:rPr>
                <w:rFonts w:ascii="Verdana" w:hAnsi="Verdana" w:cs="Arial"/>
                <w:b/>
                <w:sz w:val="20"/>
                <w:szCs w:val="20"/>
              </w:rPr>
            </w:pPr>
            <w:r w:rsidRPr="00005E76">
              <w:rPr>
                <w:rFonts w:ascii="Verdana" w:hAnsi="Verdana" w:cs="Arial"/>
                <w:b/>
                <w:sz w:val="20"/>
                <w:szCs w:val="20"/>
              </w:rPr>
              <w:t>Viabilidad jurídica</w:t>
            </w:r>
          </w:p>
        </w:tc>
      </w:tr>
      <w:tr w:rsidR="002723EB" w:rsidRPr="00005E76" w:rsidTr="00B615FD">
        <w:tc>
          <w:tcPr>
            <w:tcW w:w="9962" w:type="dxa"/>
            <w:shd w:val="clear" w:color="auto" w:fill="auto"/>
          </w:tcPr>
          <w:p w:rsidR="002723EB" w:rsidRPr="002723EB" w:rsidRDefault="002723EB" w:rsidP="002723EB">
            <w:pPr>
              <w:pStyle w:val="Default"/>
              <w:jc w:val="both"/>
              <w:rPr>
                <w:b/>
                <w:sz w:val="20"/>
                <w:szCs w:val="20"/>
              </w:rPr>
            </w:pPr>
            <w:r w:rsidRPr="002723EB">
              <w:rPr>
                <w:b/>
                <w:sz w:val="20"/>
                <w:szCs w:val="20"/>
              </w:rPr>
              <w:t>4.1. Normas que otorgan la competencia para la expedición del Decreto</w:t>
            </w:r>
          </w:p>
        </w:tc>
      </w:tr>
      <w:tr w:rsidR="00354FEA" w:rsidRPr="00005E76" w:rsidTr="00B615FD">
        <w:tc>
          <w:tcPr>
            <w:tcW w:w="9962" w:type="dxa"/>
            <w:shd w:val="clear" w:color="auto" w:fill="auto"/>
          </w:tcPr>
          <w:p w:rsidR="000959FB" w:rsidRDefault="000959FB" w:rsidP="000959FB">
            <w:pPr>
              <w:pStyle w:val="Default"/>
              <w:jc w:val="both"/>
              <w:rPr>
                <w:sz w:val="20"/>
                <w:szCs w:val="20"/>
              </w:rPr>
            </w:pPr>
          </w:p>
          <w:p w:rsidR="00E55BA7" w:rsidRPr="00E55BA7" w:rsidRDefault="00E55BA7" w:rsidP="000959FB">
            <w:pPr>
              <w:pStyle w:val="Default"/>
              <w:jc w:val="both"/>
              <w:rPr>
                <w:sz w:val="20"/>
                <w:szCs w:val="20"/>
              </w:rPr>
            </w:pPr>
            <w:r>
              <w:rPr>
                <w:sz w:val="20"/>
                <w:szCs w:val="20"/>
              </w:rPr>
              <w:t>A</w:t>
            </w:r>
            <w:r w:rsidRPr="00E55BA7">
              <w:rPr>
                <w:sz w:val="20"/>
                <w:szCs w:val="20"/>
              </w:rPr>
              <w:t>rtículo 189 de la Constitución</w:t>
            </w:r>
            <w:r>
              <w:rPr>
                <w:sz w:val="20"/>
                <w:szCs w:val="20"/>
              </w:rPr>
              <w:t xml:space="preserve"> Política</w:t>
            </w:r>
            <w:r w:rsidRPr="00E55BA7">
              <w:rPr>
                <w:sz w:val="20"/>
                <w:szCs w:val="20"/>
              </w:rPr>
              <w:t>, numeral 11</w:t>
            </w:r>
            <w:r>
              <w:rPr>
                <w:sz w:val="20"/>
                <w:szCs w:val="20"/>
              </w:rPr>
              <w:t>:</w:t>
            </w:r>
          </w:p>
          <w:p w:rsidR="00E55BA7" w:rsidRPr="00E55BA7" w:rsidRDefault="00E55BA7" w:rsidP="000959FB">
            <w:pPr>
              <w:pStyle w:val="Default"/>
              <w:jc w:val="both"/>
              <w:rPr>
                <w:sz w:val="20"/>
                <w:szCs w:val="20"/>
              </w:rPr>
            </w:pPr>
          </w:p>
          <w:p w:rsidR="00E55BA7" w:rsidRPr="00E55BA7" w:rsidRDefault="00E55BA7" w:rsidP="00E55BA7">
            <w:pPr>
              <w:pStyle w:val="Default"/>
              <w:ind w:left="1163"/>
              <w:jc w:val="both"/>
              <w:rPr>
                <w:sz w:val="20"/>
                <w:szCs w:val="20"/>
              </w:rPr>
            </w:pPr>
            <w:r w:rsidRPr="00E55BA7">
              <w:rPr>
                <w:sz w:val="20"/>
                <w:szCs w:val="20"/>
              </w:rPr>
              <w:t>“</w:t>
            </w:r>
            <w:r w:rsidRPr="00E55BA7">
              <w:rPr>
                <w:i/>
                <w:sz w:val="20"/>
                <w:szCs w:val="20"/>
              </w:rPr>
              <w:t>Corresponde al Presidente de la República como Jefe de Estado, Jefe del Gobierno y Suprema Autoridad Administrativa: (…) 11. Ejercer la potestad reglamentaria, mediante la expedición de los decretos, resoluciones y órdenes necesarios para la cumplida ejecución de las leyes</w:t>
            </w:r>
            <w:r w:rsidRPr="00E55BA7">
              <w:rPr>
                <w:sz w:val="20"/>
                <w:szCs w:val="20"/>
              </w:rPr>
              <w:t>”</w:t>
            </w:r>
            <w:r>
              <w:rPr>
                <w:sz w:val="20"/>
                <w:szCs w:val="20"/>
              </w:rPr>
              <w:t>.</w:t>
            </w:r>
            <w:r w:rsidRPr="00E55BA7">
              <w:rPr>
                <w:sz w:val="20"/>
                <w:szCs w:val="20"/>
              </w:rPr>
              <w:t xml:space="preserve"> </w:t>
            </w:r>
          </w:p>
          <w:p w:rsidR="00E55BA7" w:rsidRDefault="00E55BA7" w:rsidP="000959FB">
            <w:pPr>
              <w:pStyle w:val="Default"/>
              <w:jc w:val="both"/>
              <w:rPr>
                <w:sz w:val="20"/>
                <w:szCs w:val="20"/>
              </w:rPr>
            </w:pPr>
          </w:p>
          <w:p w:rsidR="00E55BA7" w:rsidRDefault="00E55BA7" w:rsidP="000959FB">
            <w:pPr>
              <w:pStyle w:val="Default"/>
              <w:jc w:val="both"/>
              <w:rPr>
                <w:sz w:val="20"/>
                <w:szCs w:val="20"/>
              </w:rPr>
            </w:pPr>
            <w:r>
              <w:rPr>
                <w:sz w:val="20"/>
                <w:szCs w:val="20"/>
              </w:rPr>
              <w:t>Además, la modificación</w:t>
            </w:r>
            <w:r w:rsidRPr="001E4A8A">
              <w:rPr>
                <w:sz w:val="20"/>
                <w:szCs w:val="20"/>
              </w:rPr>
              <w:t xml:space="preserve"> del Decreto 1080 de 2015 se realiza en cumplimiento de lo establecido en el artículo 2.1.2.2.3. </w:t>
            </w:r>
            <w:proofErr w:type="gramStart"/>
            <w:r w:rsidRPr="001E4A8A">
              <w:rPr>
                <w:sz w:val="20"/>
                <w:szCs w:val="20"/>
              </w:rPr>
              <w:t>del</w:t>
            </w:r>
            <w:proofErr w:type="gramEnd"/>
            <w:r w:rsidRPr="001E4A8A">
              <w:rPr>
                <w:sz w:val="20"/>
                <w:szCs w:val="20"/>
              </w:rPr>
              <w:t xml:space="preserve"> Decreto 1081 de 2015, Decreto Reglamentario Único del Sector de la Presidencia de la República</w:t>
            </w:r>
            <w:r>
              <w:rPr>
                <w:sz w:val="20"/>
                <w:szCs w:val="20"/>
              </w:rPr>
              <w:t>.</w:t>
            </w:r>
          </w:p>
          <w:p w:rsidR="00275B1F" w:rsidRPr="00005E76" w:rsidRDefault="00275B1F" w:rsidP="00E55BA7">
            <w:pPr>
              <w:pStyle w:val="Default"/>
              <w:jc w:val="both"/>
              <w:rPr>
                <w:sz w:val="20"/>
                <w:szCs w:val="20"/>
              </w:rPr>
            </w:pPr>
          </w:p>
        </w:tc>
      </w:tr>
      <w:tr w:rsidR="002723EB" w:rsidRPr="00005E76" w:rsidTr="00B615FD">
        <w:tc>
          <w:tcPr>
            <w:tcW w:w="9962" w:type="dxa"/>
            <w:shd w:val="clear" w:color="auto" w:fill="auto"/>
          </w:tcPr>
          <w:p w:rsidR="002723EB" w:rsidRPr="00005E76" w:rsidRDefault="002723EB" w:rsidP="002723EB">
            <w:pPr>
              <w:jc w:val="both"/>
              <w:rPr>
                <w:rFonts w:ascii="Verdana" w:hAnsi="Verdana" w:cs="Arial"/>
                <w:b/>
                <w:sz w:val="20"/>
                <w:szCs w:val="20"/>
              </w:rPr>
            </w:pPr>
            <w:r>
              <w:rPr>
                <w:rFonts w:ascii="Verdana" w:hAnsi="Verdana" w:cs="Arial"/>
                <w:b/>
                <w:sz w:val="20"/>
                <w:szCs w:val="20"/>
              </w:rPr>
              <w:t>4.2. Vigencia de la ley o norma reglamentada</w:t>
            </w:r>
          </w:p>
        </w:tc>
      </w:tr>
      <w:tr w:rsidR="002723EB" w:rsidRPr="002723EB" w:rsidTr="00B615FD">
        <w:tc>
          <w:tcPr>
            <w:tcW w:w="9962" w:type="dxa"/>
            <w:shd w:val="clear" w:color="auto" w:fill="auto"/>
          </w:tcPr>
          <w:p w:rsidR="00B615FD" w:rsidRDefault="00B615FD" w:rsidP="00B615FD">
            <w:pPr>
              <w:jc w:val="both"/>
              <w:rPr>
                <w:rFonts w:ascii="Verdana" w:hAnsi="Verdana" w:cs="Arial"/>
                <w:sz w:val="20"/>
                <w:szCs w:val="20"/>
              </w:rPr>
            </w:pPr>
          </w:p>
          <w:p w:rsidR="002723EB" w:rsidRPr="00E55BA7" w:rsidRDefault="00E55BA7" w:rsidP="00B615FD">
            <w:pPr>
              <w:jc w:val="both"/>
              <w:rPr>
                <w:rFonts w:ascii="Verdana" w:eastAsiaTheme="minorHAnsi" w:hAnsi="Verdana" w:cs="Verdana"/>
                <w:color w:val="000000"/>
                <w:sz w:val="20"/>
                <w:szCs w:val="20"/>
                <w:lang w:eastAsia="en-US"/>
              </w:rPr>
            </w:pPr>
            <w:r w:rsidRPr="00E55BA7">
              <w:rPr>
                <w:rFonts w:ascii="Verdana" w:eastAsiaTheme="minorHAnsi" w:hAnsi="Verdana" w:cs="Verdana"/>
                <w:color w:val="000000"/>
                <w:sz w:val="20"/>
                <w:szCs w:val="20"/>
                <w:lang w:eastAsia="en-US"/>
              </w:rPr>
              <w:t>El Decreto 1080 de 2015 está vigente.</w:t>
            </w:r>
          </w:p>
          <w:p w:rsidR="00B615FD" w:rsidRPr="002723EB" w:rsidRDefault="00B615FD" w:rsidP="00B615FD">
            <w:pPr>
              <w:jc w:val="both"/>
              <w:rPr>
                <w:rFonts w:ascii="Verdana" w:hAnsi="Verdana" w:cs="Arial"/>
                <w:sz w:val="20"/>
                <w:szCs w:val="20"/>
              </w:rPr>
            </w:pPr>
          </w:p>
        </w:tc>
      </w:tr>
      <w:tr w:rsidR="00B615FD" w:rsidRPr="00005E76" w:rsidTr="00B615FD">
        <w:tc>
          <w:tcPr>
            <w:tcW w:w="9962" w:type="dxa"/>
            <w:shd w:val="clear" w:color="auto" w:fill="auto"/>
          </w:tcPr>
          <w:p w:rsidR="00B615FD" w:rsidRPr="00005E76" w:rsidRDefault="00B615FD" w:rsidP="00B615FD">
            <w:pPr>
              <w:jc w:val="both"/>
              <w:rPr>
                <w:rFonts w:ascii="Verdana" w:hAnsi="Verdana" w:cs="Arial"/>
                <w:b/>
                <w:sz w:val="20"/>
                <w:szCs w:val="20"/>
              </w:rPr>
            </w:pPr>
            <w:r>
              <w:rPr>
                <w:rFonts w:ascii="Verdana" w:hAnsi="Verdana" w:cs="Arial"/>
                <w:b/>
                <w:sz w:val="20"/>
                <w:szCs w:val="20"/>
              </w:rPr>
              <w:t>4.3. Dis</w:t>
            </w:r>
            <w:r w:rsidRPr="00B615FD">
              <w:rPr>
                <w:rFonts w:ascii="Verdana" w:hAnsi="Verdana" w:cs="Arial"/>
                <w:b/>
                <w:sz w:val="20"/>
                <w:szCs w:val="20"/>
              </w:rPr>
              <w:t>posiciones derogadas, subrogadas, modificadas, adicionadas o sustituidas</w:t>
            </w:r>
          </w:p>
        </w:tc>
      </w:tr>
      <w:tr w:rsidR="00B615FD" w:rsidRPr="00005E76" w:rsidTr="00B615FD">
        <w:tc>
          <w:tcPr>
            <w:tcW w:w="9962" w:type="dxa"/>
            <w:shd w:val="clear" w:color="auto" w:fill="auto"/>
          </w:tcPr>
          <w:p w:rsidR="00B615FD" w:rsidRDefault="00B615FD" w:rsidP="00B615FD">
            <w:pPr>
              <w:jc w:val="both"/>
              <w:rPr>
                <w:rFonts w:ascii="Verdana" w:hAnsi="Verdana" w:cs="Arial"/>
                <w:b/>
                <w:sz w:val="20"/>
                <w:szCs w:val="20"/>
              </w:rPr>
            </w:pPr>
          </w:p>
          <w:p w:rsidR="00B615FD" w:rsidRDefault="00B615FD" w:rsidP="00B615FD">
            <w:pPr>
              <w:jc w:val="both"/>
              <w:rPr>
                <w:rFonts w:ascii="Verdana" w:hAnsi="Verdana" w:cs="Arial"/>
                <w:sz w:val="20"/>
                <w:szCs w:val="20"/>
              </w:rPr>
            </w:pPr>
            <w:r w:rsidRPr="00B615FD">
              <w:rPr>
                <w:rFonts w:ascii="Verdana" w:hAnsi="Verdana" w:cs="Arial"/>
                <w:sz w:val="20"/>
                <w:szCs w:val="20"/>
              </w:rPr>
              <w:t xml:space="preserve">El </w:t>
            </w:r>
            <w:r w:rsidR="00E55BA7">
              <w:rPr>
                <w:rFonts w:ascii="Verdana" w:hAnsi="Verdana" w:cs="Arial"/>
                <w:sz w:val="20"/>
                <w:szCs w:val="20"/>
              </w:rPr>
              <w:t xml:space="preserve">presente </w:t>
            </w:r>
            <w:r w:rsidRPr="00B615FD">
              <w:rPr>
                <w:rFonts w:ascii="Verdana" w:hAnsi="Verdana" w:cs="Arial"/>
                <w:sz w:val="20"/>
                <w:szCs w:val="20"/>
              </w:rPr>
              <w:t>Decreto modifica</w:t>
            </w:r>
            <w:r w:rsidR="00E55BA7">
              <w:rPr>
                <w:rFonts w:ascii="Verdana" w:hAnsi="Verdana" w:cs="Arial"/>
                <w:sz w:val="20"/>
                <w:szCs w:val="20"/>
              </w:rPr>
              <w:t xml:space="preserve"> el</w:t>
            </w:r>
            <w:r w:rsidRPr="00B615FD">
              <w:rPr>
                <w:rFonts w:ascii="Verdana" w:hAnsi="Verdana" w:cs="Arial"/>
                <w:sz w:val="20"/>
                <w:szCs w:val="20"/>
              </w:rPr>
              <w:t xml:space="preserve"> </w:t>
            </w:r>
            <w:r w:rsidR="00E55BA7" w:rsidRPr="00E55BA7">
              <w:rPr>
                <w:rFonts w:ascii="Verdana" w:eastAsiaTheme="minorHAnsi" w:hAnsi="Verdana" w:cs="Verdana"/>
                <w:color w:val="000000"/>
                <w:sz w:val="20"/>
                <w:szCs w:val="20"/>
                <w:lang w:eastAsia="en-US"/>
              </w:rPr>
              <w:t>Decreto 1080 de 2015</w:t>
            </w:r>
            <w:r>
              <w:rPr>
                <w:rFonts w:ascii="Verdana" w:hAnsi="Verdana" w:cs="Arial"/>
                <w:sz w:val="20"/>
                <w:szCs w:val="20"/>
              </w:rPr>
              <w:t>.</w:t>
            </w:r>
          </w:p>
          <w:p w:rsidR="00B615FD" w:rsidRPr="00B615FD" w:rsidRDefault="00B615FD" w:rsidP="00B615FD">
            <w:pPr>
              <w:jc w:val="both"/>
              <w:rPr>
                <w:rFonts w:ascii="Verdana" w:hAnsi="Verdana" w:cs="Arial"/>
                <w:sz w:val="20"/>
                <w:szCs w:val="20"/>
              </w:rPr>
            </w:pPr>
          </w:p>
        </w:tc>
      </w:tr>
      <w:tr w:rsidR="00B615FD" w:rsidRPr="00005E76" w:rsidTr="00B615FD">
        <w:tc>
          <w:tcPr>
            <w:tcW w:w="9962" w:type="dxa"/>
            <w:shd w:val="clear" w:color="auto" w:fill="auto"/>
          </w:tcPr>
          <w:p w:rsidR="00B615FD" w:rsidRPr="00005E76" w:rsidRDefault="00B615FD" w:rsidP="00B615FD">
            <w:pPr>
              <w:jc w:val="both"/>
              <w:rPr>
                <w:rFonts w:ascii="Verdana" w:hAnsi="Verdana" w:cs="Arial"/>
                <w:b/>
                <w:sz w:val="20"/>
                <w:szCs w:val="20"/>
              </w:rPr>
            </w:pPr>
            <w:r>
              <w:rPr>
                <w:rFonts w:ascii="Verdana" w:hAnsi="Verdana" w:cs="Arial"/>
                <w:b/>
                <w:sz w:val="20"/>
                <w:szCs w:val="20"/>
              </w:rPr>
              <w:t>4.4. D</w:t>
            </w:r>
            <w:r w:rsidRPr="00B615FD">
              <w:rPr>
                <w:rFonts w:ascii="Verdana" w:hAnsi="Verdana" w:cs="Arial"/>
                <w:b/>
                <w:sz w:val="20"/>
                <w:szCs w:val="20"/>
              </w:rPr>
              <w:t>ecisiones judiciales de los órganos de cierre de cada</w:t>
            </w:r>
            <w:r>
              <w:rPr>
                <w:rFonts w:ascii="Verdana" w:hAnsi="Verdana" w:cs="Arial"/>
                <w:b/>
                <w:sz w:val="20"/>
                <w:szCs w:val="20"/>
              </w:rPr>
              <w:t xml:space="preserve"> </w:t>
            </w:r>
            <w:r w:rsidRPr="00B615FD">
              <w:rPr>
                <w:rFonts w:ascii="Verdana" w:hAnsi="Verdana" w:cs="Arial"/>
                <w:b/>
                <w:sz w:val="20"/>
                <w:szCs w:val="20"/>
              </w:rPr>
              <w:t>jurisdicción que pudieran tener impacto o ser relevantes para la expedición del acto</w:t>
            </w:r>
          </w:p>
        </w:tc>
      </w:tr>
      <w:tr w:rsidR="00B615FD" w:rsidRPr="00005E76" w:rsidTr="00B615FD">
        <w:tc>
          <w:tcPr>
            <w:tcW w:w="9962" w:type="dxa"/>
            <w:shd w:val="clear" w:color="auto" w:fill="auto"/>
          </w:tcPr>
          <w:p w:rsidR="00B615FD" w:rsidRDefault="00B615FD" w:rsidP="00B615FD">
            <w:pPr>
              <w:jc w:val="both"/>
              <w:rPr>
                <w:rFonts w:ascii="Verdana" w:hAnsi="Verdana" w:cs="Arial"/>
                <w:b/>
                <w:sz w:val="20"/>
                <w:szCs w:val="20"/>
              </w:rPr>
            </w:pPr>
          </w:p>
          <w:p w:rsidR="00746D1E" w:rsidRDefault="00B615FD" w:rsidP="00B615FD">
            <w:pPr>
              <w:jc w:val="both"/>
              <w:rPr>
                <w:rFonts w:ascii="Verdana" w:hAnsi="Verdana" w:cs="Arial"/>
                <w:b/>
                <w:sz w:val="20"/>
                <w:szCs w:val="20"/>
              </w:rPr>
            </w:pPr>
            <w:r w:rsidRPr="00B615FD">
              <w:rPr>
                <w:rFonts w:ascii="Verdana" w:hAnsi="Verdana" w:cs="Arial"/>
                <w:sz w:val="20"/>
                <w:szCs w:val="20"/>
              </w:rPr>
              <w:t>No hay pronunciamientos de órganos de cierre que pudieran tener impacto o ser relevantes para la expedición del acto.</w:t>
            </w:r>
          </w:p>
          <w:p w:rsidR="00746D1E" w:rsidRDefault="00746D1E" w:rsidP="00B615FD">
            <w:pPr>
              <w:jc w:val="both"/>
              <w:rPr>
                <w:rFonts w:ascii="Verdana" w:hAnsi="Verdana" w:cs="Arial"/>
                <w:b/>
                <w:sz w:val="20"/>
                <w:szCs w:val="20"/>
              </w:rPr>
            </w:pPr>
          </w:p>
          <w:p w:rsidR="006C0763" w:rsidRDefault="006C0763" w:rsidP="00B615FD">
            <w:pPr>
              <w:jc w:val="both"/>
              <w:rPr>
                <w:rFonts w:ascii="Verdana" w:hAnsi="Verdana" w:cs="Arial"/>
                <w:b/>
                <w:sz w:val="20"/>
                <w:szCs w:val="20"/>
              </w:rPr>
            </w:pPr>
          </w:p>
          <w:p w:rsidR="006C0763" w:rsidRDefault="006C0763" w:rsidP="00B615FD">
            <w:pPr>
              <w:jc w:val="both"/>
              <w:rPr>
                <w:rFonts w:ascii="Verdana" w:hAnsi="Verdana" w:cs="Arial"/>
                <w:b/>
                <w:sz w:val="20"/>
                <w:szCs w:val="20"/>
              </w:rPr>
            </w:pPr>
          </w:p>
          <w:p w:rsidR="006C0763" w:rsidRDefault="006C0763" w:rsidP="00B615FD">
            <w:pPr>
              <w:jc w:val="both"/>
              <w:rPr>
                <w:rFonts w:ascii="Verdana" w:hAnsi="Verdana" w:cs="Arial"/>
                <w:b/>
                <w:sz w:val="20"/>
                <w:szCs w:val="20"/>
              </w:rPr>
            </w:pPr>
          </w:p>
          <w:p w:rsidR="006C0763" w:rsidRPr="00005E76" w:rsidRDefault="006C0763" w:rsidP="00B615FD">
            <w:pPr>
              <w:jc w:val="both"/>
              <w:rPr>
                <w:rFonts w:ascii="Verdana" w:hAnsi="Verdana" w:cs="Arial"/>
                <w:b/>
                <w:sz w:val="20"/>
                <w:szCs w:val="20"/>
              </w:rPr>
            </w:pPr>
          </w:p>
        </w:tc>
      </w:tr>
      <w:tr w:rsidR="00B615FD" w:rsidRPr="00005E76" w:rsidTr="00B615FD">
        <w:tc>
          <w:tcPr>
            <w:tcW w:w="9962" w:type="dxa"/>
            <w:shd w:val="clear" w:color="auto" w:fill="F2F2F2" w:themeFill="background1" w:themeFillShade="F2"/>
          </w:tcPr>
          <w:p w:rsidR="00B615FD" w:rsidRPr="00005E76" w:rsidRDefault="00B615FD" w:rsidP="00B615FD">
            <w:pPr>
              <w:numPr>
                <w:ilvl w:val="0"/>
                <w:numId w:val="1"/>
              </w:numPr>
              <w:jc w:val="center"/>
              <w:rPr>
                <w:rFonts w:ascii="Verdana" w:hAnsi="Verdana" w:cs="Arial"/>
                <w:sz w:val="20"/>
                <w:szCs w:val="20"/>
              </w:rPr>
            </w:pPr>
            <w:r w:rsidRPr="00005E76">
              <w:rPr>
                <w:rFonts w:ascii="Verdana" w:hAnsi="Verdana" w:cs="Arial"/>
                <w:b/>
                <w:sz w:val="20"/>
                <w:szCs w:val="20"/>
              </w:rPr>
              <w:lastRenderedPageBreak/>
              <w:t>Consulta previa y publicidad</w:t>
            </w:r>
          </w:p>
        </w:tc>
      </w:tr>
      <w:tr w:rsidR="00B615FD" w:rsidRPr="00005E76" w:rsidTr="00B615FD">
        <w:tc>
          <w:tcPr>
            <w:tcW w:w="9962" w:type="dxa"/>
            <w:shd w:val="clear" w:color="auto" w:fill="auto"/>
          </w:tcPr>
          <w:p w:rsidR="00B615FD" w:rsidRPr="00005E76" w:rsidRDefault="00B615FD" w:rsidP="00B615FD">
            <w:pPr>
              <w:jc w:val="both"/>
              <w:rPr>
                <w:rFonts w:ascii="Verdana" w:hAnsi="Verdana" w:cs="Arial"/>
                <w:sz w:val="20"/>
                <w:szCs w:val="20"/>
              </w:rPr>
            </w:pPr>
            <w:r w:rsidRPr="00005E76">
              <w:rPr>
                <w:rFonts w:ascii="Verdana" w:hAnsi="Verdana" w:cs="Arial"/>
                <w:b/>
                <w:sz w:val="20"/>
                <w:szCs w:val="20"/>
              </w:rPr>
              <w:t>5.1. Consulta Previa</w:t>
            </w:r>
          </w:p>
        </w:tc>
      </w:tr>
      <w:tr w:rsidR="00B615FD" w:rsidRPr="00005E76" w:rsidTr="00B615FD">
        <w:tc>
          <w:tcPr>
            <w:tcW w:w="9962" w:type="dxa"/>
            <w:shd w:val="clear" w:color="auto" w:fill="auto"/>
          </w:tcPr>
          <w:p w:rsidR="00B615FD" w:rsidRPr="00005E76" w:rsidRDefault="00B615FD" w:rsidP="00B615FD">
            <w:pPr>
              <w:jc w:val="both"/>
              <w:rPr>
                <w:rFonts w:ascii="Verdana" w:eastAsiaTheme="minorHAnsi" w:hAnsi="Verdana" w:cs="Verdana"/>
                <w:color w:val="000000"/>
                <w:sz w:val="20"/>
                <w:szCs w:val="20"/>
                <w:lang w:eastAsia="en-US"/>
              </w:rPr>
            </w:pPr>
          </w:p>
          <w:p w:rsidR="00B615FD" w:rsidRPr="00005E76" w:rsidRDefault="00B615FD" w:rsidP="00B615FD">
            <w:pPr>
              <w:jc w:val="both"/>
              <w:rPr>
                <w:rFonts w:ascii="Verdana" w:eastAsiaTheme="minorHAnsi" w:hAnsi="Verdana" w:cs="Verdana"/>
                <w:color w:val="000000"/>
                <w:sz w:val="20"/>
                <w:szCs w:val="20"/>
                <w:lang w:eastAsia="en-US"/>
              </w:rPr>
            </w:pPr>
            <w:r w:rsidRPr="00005E76">
              <w:rPr>
                <w:rFonts w:ascii="Verdana" w:eastAsiaTheme="minorHAnsi" w:hAnsi="Verdana" w:cs="Verdana"/>
                <w:color w:val="000000"/>
                <w:sz w:val="20"/>
                <w:szCs w:val="20"/>
                <w:lang w:eastAsia="en-US"/>
              </w:rPr>
              <w:t xml:space="preserve">El proyecto de Decreto no es una decisión administrativa sujeta a las condiciones de la Ley 21 de 1991 en materia de consulta previa. </w:t>
            </w:r>
          </w:p>
          <w:p w:rsidR="00B615FD" w:rsidRPr="00005E76" w:rsidRDefault="00B615FD" w:rsidP="00B615FD">
            <w:pPr>
              <w:jc w:val="both"/>
              <w:rPr>
                <w:rFonts w:ascii="Verdana" w:hAnsi="Verdana" w:cs="Arial"/>
                <w:sz w:val="20"/>
                <w:szCs w:val="20"/>
              </w:rPr>
            </w:pPr>
          </w:p>
        </w:tc>
      </w:tr>
      <w:tr w:rsidR="00B615FD" w:rsidRPr="00005E76" w:rsidTr="00B615FD">
        <w:tc>
          <w:tcPr>
            <w:tcW w:w="9962" w:type="dxa"/>
            <w:shd w:val="clear" w:color="auto" w:fill="auto"/>
          </w:tcPr>
          <w:p w:rsidR="00B615FD" w:rsidRPr="00005E76" w:rsidRDefault="00B615FD" w:rsidP="00B615FD">
            <w:pPr>
              <w:jc w:val="both"/>
              <w:rPr>
                <w:rFonts w:ascii="Verdana" w:hAnsi="Verdana" w:cs="Arial"/>
                <w:sz w:val="20"/>
                <w:szCs w:val="20"/>
              </w:rPr>
            </w:pPr>
            <w:r w:rsidRPr="00005E76">
              <w:rPr>
                <w:rFonts w:ascii="Verdana" w:hAnsi="Verdana" w:cs="Arial"/>
                <w:b/>
                <w:sz w:val="20"/>
                <w:szCs w:val="20"/>
              </w:rPr>
              <w:t>5.2. Publicidad</w:t>
            </w:r>
          </w:p>
        </w:tc>
      </w:tr>
      <w:tr w:rsidR="00B615FD" w:rsidRPr="00005E76" w:rsidTr="00B615FD">
        <w:tc>
          <w:tcPr>
            <w:tcW w:w="9962" w:type="dxa"/>
            <w:shd w:val="clear" w:color="auto" w:fill="auto"/>
          </w:tcPr>
          <w:p w:rsidR="00B615FD" w:rsidRPr="00005E76" w:rsidRDefault="00B615FD" w:rsidP="00B615FD">
            <w:pPr>
              <w:pStyle w:val="Default"/>
              <w:jc w:val="both"/>
              <w:rPr>
                <w:sz w:val="20"/>
                <w:szCs w:val="20"/>
              </w:rPr>
            </w:pPr>
          </w:p>
          <w:p w:rsidR="00B615FD" w:rsidRDefault="00B615FD" w:rsidP="00B615FD">
            <w:pPr>
              <w:jc w:val="both"/>
              <w:rPr>
                <w:rFonts w:ascii="Verdana" w:eastAsiaTheme="minorHAnsi" w:hAnsi="Verdana" w:cs="Verdana"/>
                <w:color w:val="000000"/>
                <w:sz w:val="20"/>
                <w:szCs w:val="20"/>
                <w:lang w:eastAsia="en-US"/>
              </w:rPr>
            </w:pPr>
            <w:r w:rsidRPr="00005E76">
              <w:rPr>
                <w:rFonts w:ascii="Verdana" w:eastAsiaTheme="minorHAnsi" w:hAnsi="Verdana" w:cs="Verdana"/>
                <w:color w:val="000000"/>
                <w:sz w:val="20"/>
                <w:szCs w:val="20"/>
                <w:lang w:eastAsia="en-US"/>
              </w:rPr>
              <w:t>Se anexa constancia de publicación</w:t>
            </w:r>
            <w:r w:rsidR="006F7417">
              <w:rPr>
                <w:rFonts w:ascii="Verdana" w:eastAsiaTheme="minorHAnsi" w:hAnsi="Verdana" w:cs="Verdana"/>
                <w:color w:val="000000"/>
                <w:sz w:val="20"/>
                <w:szCs w:val="20"/>
                <w:lang w:eastAsia="en-US"/>
              </w:rPr>
              <w:t xml:space="preserve"> del proyecto de Decreto en la página web del Ministerio de Cultura</w:t>
            </w:r>
            <w:r w:rsidRPr="00005E76">
              <w:rPr>
                <w:rFonts w:ascii="Verdana" w:eastAsiaTheme="minorHAnsi" w:hAnsi="Verdana" w:cs="Verdana"/>
                <w:color w:val="000000"/>
                <w:sz w:val="20"/>
                <w:szCs w:val="20"/>
                <w:lang w:eastAsia="en-US"/>
              </w:rPr>
              <w:t xml:space="preserve">. </w:t>
            </w:r>
          </w:p>
          <w:p w:rsidR="00B615FD" w:rsidRPr="00005E76" w:rsidRDefault="00B615FD" w:rsidP="006F7417">
            <w:pPr>
              <w:jc w:val="both"/>
              <w:rPr>
                <w:rFonts w:ascii="Verdana" w:hAnsi="Verdana" w:cs="Arial"/>
                <w:sz w:val="20"/>
                <w:szCs w:val="20"/>
              </w:rPr>
            </w:pPr>
          </w:p>
        </w:tc>
      </w:tr>
      <w:tr w:rsidR="006F7417" w:rsidRPr="00005E76" w:rsidTr="006F7417">
        <w:tc>
          <w:tcPr>
            <w:tcW w:w="9962" w:type="dxa"/>
            <w:shd w:val="clear" w:color="auto" w:fill="auto"/>
          </w:tcPr>
          <w:p w:rsidR="006F7417" w:rsidRPr="00005E76" w:rsidRDefault="006F7417" w:rsidP="006F7417">
            <w:pPr>
              <w:jc w:val="both"/>
              <w:rPr>
                <w:rFonts w:ascii="Verdana" w:hAnsi="Verdana" w:cs="Arial"/>
                <w:b/>
                <w:sz w:val="20"/>
                <w:szCs w:val="20"/>
              </w:rPr>
            </w:pPr>
            <w:r>
              <w:rPr>
                <w:rFonts w:ascii="Verdana" w:hAnsi="Verdana" w:cs="Arial"/>
                <w:b/>
                <w:sz w:val="20"/>
                <w:szCs w:val="20"/>
              </w:rPr>
              <w:t>5.2.1. M</w:t>
            </w:r>
            <w:r w:rsidRPr="006F7417">
              <w:rPr>
                <w:rFonts w:ascii="Verdana" w:hAnsi="Verdana" w:cs="Arial"/>
                <w:b/>
                <w:sz w:val="20"/>
                <w:szCs w:val="20"/>
              </w:rPr>
              <w:t>atriz con el resumen de las observaciones y comentarios de los</w:t>
            </w:r>
            <w:r>
              <w:rPr>
                <w:rFonts w:ascii="Verdana" w:hAnsi="Verdana" w:cs="Arial"/>
                <w:b/>
                <w:sz w:val="20"/>
                <w:szCs w:val="20"/>
              </w:rPr>
              <w:t xml:space="preserve"> </w:t>
            </w:r>
            <w:r w:rsidRPr="006F7417">
              <w:rPr>
                <w:rFonts w:ascii="Verdana" w:hAnsi="Verdana" w:cs="Arial"/>
                <w:b/>
                <w:sz w:val="20"/>
                <w:szCs w:val="20"/>
              </w:rPr>
              <w:t>ciudadanos y grupos de interés al proyecto específico de regulación</w:t>
            </w:r>
          </w:p>
        </w:tc>
      </w:tr>
      <w:tr w:rsidR="006F7417" w:rsidRPr="00005E76" w:rsidTr="006F7417">
        <w:tc>
          <w:tcPr>
            <w:tcW w:w="9962" w:type="dxa"/>
            <w:shd w:val="clear" w:color="auto" w:fill="auto"/>
          </w:tcPr>
          <w:p w:rsidR="006F7417" w:rsidRDefault="006F7417" w:rsidP="006F7417">
            <w:pPr>
              <w:jc w:val="both"/>
              <w:rPr>
                <w:rFonts w:ascii="Verdana" w:eastAsiaTheme="minorHAnsi" w:hAnsi="Verdana" w:cs="Verdana"/>
                <w:color w:val="000000"/>
                <w:sz w:val="20"/>
                <w:szCs w:val="20"/>
                <w:lang w:eastAsia="en-US"/>
              </w:rPr>
            </w:pPr>
          </w:p>
          <w:p w:rsidR="006F7417" w:rsidRPr="00005E76" w:rsidRDefault="00E07FCA" w:rsidP="006F7417">
            <w:pPr>
              <w:jc w:val="both"/>
              <w:rPr>
                <w:rFonts w:ascii="Verdana" w:eastAsiaTheme="minorHAnsi" w:hAnsi="Verdana" w:cs="Verdana"/>
                <w:color w:val="000000"/>
                <w:sz w:val="20"/>
                <w:szCs w:val="20"/>
                <w:lang w:eastAsia="en-US"/>
              </w:rPr>
            </w:pPr>
            <w:r>
              <w:rPr>
                <w:rFonts w:ascii="Verdana" w:eastAsiaTheme="minorHAnsi" w:hAnsi="Verdana" w:cs="Verdana"/>
                <w:color w:val="000000"/>
                <w:sz w:val="20"/>
                <w:szCs w:val="20"/>
                <w:lang w:eastAsia="en-US"/>
              </w:rPr>
              <w:t>S</w:t>
            </w:r>
            <w:r w:rsidR="006F7417">
              <w:rPr>
                <w:rFonts w:ascii="Verdana" w:eastAsiaTheme="minorHAnsi" w:hAnsi="Verdana" w:cs="Verdana"/>
                <w:color w:val="000000"/>
                <w:sz w:val="20"/>
                <w:szCs w:val="20"/>
                <w:lang w:eastAsia="en-US"/>
              </w:rPr>
              <w:t xml:space="preserve">e presenta la matriz con </w:t>
            </w:r>
            <w:r w:rsidR="00335743">
              <w:rPr>
                <w:rFonts w:ascii="Verdana" w:eastAsiaTheme="minorHAnsi" w:hAnsi="Verdana" w:cs="Verdana"/>
                <w:color w:val="000000"/>
                <w:sz w:val="20"/>
                <w:szCs w:val="20"/>
                <w:lang w:eastAsia="en-US"/>
              </w:rPr>
              <w:t>los comentarios u observaciones</w:t>
            </w:r>
            <w:r w:rsidR="006F7417">
              <w:rPr>
                <w:rFonts w:ascii="Verdana" w:eastAsiaTheme="minorHAnsi" w:hAnsi="Verdana" w:cs="Verdana"/>
                <w:color w:val="000000"/>
                <w:sz w:val="20"/>
                <w:szCs w:val="20"/>
                <w:lang w:eastAsia="en-US"/>
              </w:rPr>
              <w:t>.</w:t>
            </w:r>
          </w:p>
          <w:p w:rsidR="006F7417" w:rsidRPr="00005E76" w:rsidRDefault="006F7417" w:rsidP="006F7417">
            <w:pPr>
              <w:ind w:left="360"/>
              <w:jc w:val="both"/>
              <w:rPr>
                <w:rFonts w:ascii="Verdana" w:hAnsi="Verdana" w:cs="Arial"/>
                <w:b/>
                <w:sz w:val="20"/>
                <w:szCs w:val="20"/>
              </w:rPr>
            </w:pPr>
          </w:p>
        </w:tc>
      </w:tr>
      <w:tr w:rsidR="006F7417" w:rsidRPr="00005E76" w:rsidTr="006F7417">
        <w:tc>
          <w:tcPr>
            <w:tcW w:w="9962" w:type="dxa"/>
            <w:shd w:val="clear" w:color="auto" w:fill="auto"/>
          </w:tcPr>
          <w:p w:rsidR="006F7417" w:rsidRPr="00005E76" w:rsidRDefault="006F7417" w:rsidP="006F7417">
            <w:pPr>
              <w:jc w:val="both"/>
              <w:rPr>
                <w:rFonts w:ascii="Verdana" w:hAnsi="Verdana" w:cs="Arial"/>
                <w:b/>
                <w:sz w:val="20"/>
                <w:szCs w:val="20"/>
              </w:rPr>
            </w:pPr>
            <w:r>
              <w:rPr>
                <w:rFonts w:ascii="Verdana" w:hAnsi="Verdana" w:cs="Arial"/>
                <w:b/>
                <w:sz w:val="20"/>
                <w:szCs w:val="20"/>
              </w:rPr>
              <w:t xml:space="preserve">5.2.2. </w:t>
            </w:r>
            <w:r w:rsidRPr="006F7417">
              <w:rPr>
                <w:rFonts w:ascii="Verdana" w:hAnsi="Verdana" w:cs="Arial"/>
                <w:b/>
                <w:sz w:val="20"/>
                <w:szCs w:val="20"/>
              </w:rPr>
              <w:t>Informe Global con la evaluación, por categorías, de las observaciones y</w:t>
            </w:r>
            <w:r>
              <w:rPr>
                <w:rFonts w:ascii="Verdana" w:hAnsi="Verdana" w:cs="Arial"/>
                <w:b/>
                <w:sz w:val="20"/>
                <w:szCs w:val="20"/>
              </w:rPr>
              <w:t xml:space="preserve"> </w:t>
            </w:r>
            <w:r w:rsidRPr="006F7417">
              <w:rPr>
                <w:rFonts w:ascii="Verdana" w:hAnsi="Verdana" w:cs="Arial"/>
                <w:b/>
                <w:sz w:val="20"/>
                <w:szCs w:val="20"/>
              </w:rPr>
              <w:t>comentarios de los ciudadanos y grupos de interés</w:t>
            </w:r>
          </w:p>
        </w:tc>
      </w:tr>
      <w:tr w:rsidR="006F7417" w:rsidRPr="00005E76" w:rsidTr="006F7417">
        <w:tc>
          <w:tcPr>
            <w:tcW w:w="9962" w:type="dxa"/>
            <w:shd w:val="clear" w:color="auto" w:fill="auto"/>
          </w:tcPr>
          <w:p w:rsidR="006F7417" w:rsidRDefault="006F7417" w:rsidP="006F7417">
            <w:pPr>
              <w:jc w:val="both"/>
              <w:rPr>
                <w:rFonts w:ascii="Verdana" w:eastAsiaTheme="minorHAnsi" w:hAnsi="Verdana" w:cs="Verdana"/>
                <w:color w:val="000000"/>
                <w:sz w:val="20"/>
                <w:szCs w:val="20"/>
                <w:lang w:eastAsia="en-US"/>
              </w:rPr>
            </w:pPr>
          </w:p>
          <w:p w:rsidR="00E55BA7" w:rsidRDefault="00E07FCA" w:rsidP="00531C9F">
            <w:pPr>
              <w:jc w:val="both"/>
              <w:rPr>
                <w:rFonts w:ascii="Verdana" w:eastAsiaTheme="minorHAnsi" w:hAnsi="Verdana" w:cs="Verdana"/>
                <w:color w:val="000000"/>
                <w:sz w:val="20"/>
                <w:szCs w:val="20"/>
                <w:lang w:eastAsia="en-US"/>
              </w:rPr>
            </w:pPr>
            <w:r>
              <w:rPr>
                <w:rFonts w:ascii="Verdana" w:eastAsiaTheme="minorHAnsi" w:hAnsi="Verdana" w:cs="Verdana"/>
                <w:color w:val="000000"/>
                <w:sz w:val="20"/>
                <w:szCs w:val="20"/>
                <w:lang w:eastAsia="en-US"/>
              </w:rPr>
              <w:t>S</w:t>
            </w:r>
            <w:r w:rsidR="00335743">
              <w:rPr>
                <w:rFonts w:ascii="Verdana" w:eastAsiaTheme="minorHAnsi" w:hAnsi="Verdana" w:cs="Verdana"/>
                <w:color w:val="000000"/>
                <w:sz w:val="20"/>
                <w:szCs w:val="20"/>
                <w:lang w:eastAsia="en-US"/>
              </w:rPr>
              <w:t>e presenta el informe global de evaluación con el resumen de los comentarios u observaciones.</w:t>
            </w:r>
            <w:bookmarkStart w:id="0" w:name="_GoBack"/>
            <w:bookmarkEnd w:id="0"/>
          </w:p>
          <w:p w:rsidR="00E07FCA" w:rsidRDefault="00E07FCA" w:rsidP="00531C9F">
            <w:pPr>
              <w:jc w:val="both"/>
              <w:rPr>
                <w:rFonts w:ascii="Verdana" w:eastAsiaTheme="minorHAnsi" w:hAnsi="Verdana" w:cs="Verdana"/>
                <w:color w:val="000000"/>
                <w:sz w:val="20"/>
                <w:szCs w:val="20"/>
                <w:lang w:eastAsia="en-US"/>
              </w:rPr>
            </w:pPr>
          </w:p>
          <w:p w:rsidR="00E07FCA" w:rsidRPr="00335743" w:rsidRDefault="00E07FCA" w:rsidP="00531C9F">
            <w:pPr>
              <w:jc w:val="both"/>
              <w:rPr>
                <w:rFonts w:ascii="Verdana" w:eastAsiaTheme="minorHAnsi" w:hAnsi="Verdana" w:cs="Verdana"/>
                <w:color w:val="000000"/>
                <w:sz w:val="20"/>
                <w:szCs w:val="20"/>
                <w:lang w:eastAsia="en-US"/>
              </w:rPr>
            </w:pPr>
          </w:p>
        </w:tc>
      </w:tr>
      <w:tr w:rsidR="00B615FD" w:rsidRPr="00005E76" w:rsidTr="00B615FD">
        <w:tc>
          <w:tcPr>
            <w:tcW w:w="9962" w:type="dxa"/>
            <w:shd w:val="clear" w:color="auto" w:fill="F2F2F2" w:themeFill="background1" w:themeFillShade="F2"/>
          </w:tcPr>
          <w:p w:rsidR="00B615FD" w:rsidRPr="00005E76" w:rsidRDefault="00B615FD" w:rsidP="00B615FD">
            <w:pPr>
              <w:numPr>
                <w:ilvl w:val="0"/>
                <w:numId w:val="1"/>
              </w:numPr>
              <w:jc w:val="center"/>
              <w:rPr>
                <w:rFonts w:ascii="Verdana" w:hAnsi="Verdana" w:cs="Arial"/>
                <w:b/>
                <w:sz w:val="20"/>
                <w:szCs w:val="20"/>
              </w:rPr>
            </w:pPr>
            <w:r w:rsidRPr="00005E76">
              <w:rPr>
                <w:rFonts w:ascii="Verdana" w:hAnsi="Verdana" w:cs="Arial"/>
                <w:b/>
                <w:sz w:val="20"/>
                <w:szCs w:val="20"/>
              </w:rPr>
              <w:t>Coordinación</w:t>
            </w:r>
          </w:p>
        </w:tc>
      </w:tr>
      <w:tr w:rsidR="00B615FD" w:rsidRPr="00005E76" w:rsidTr="00B615FD">
        <w:tc>
          <w:tcPr>
            <w:tcW w:w="9962" w:type="dxa"/>
            <w:shd w:val="clear" w:color="auto" w:fill="auto"/>
          </w:tcPr>
          <w:p w:rsidR="00B615FD" w:rsidRPr="00005E76" w:rsidRDefault="00B615FD" w:rsidP="00B615FD">
            <w:pPr>
              <w:jc w:val="both"/>
              <w:rPr>
                <w:rFonts w:ascii="Verdana" w:eastAsiaTheme="minorHAnsi" w:hAnsi="Verdana" w:cs="Verdana"/>
                <w:color w:val="000000"/>
                <w:sz w:val="20"/>
                <w:szCs w:val="20"/>
                <w:lang w:eastAsia="en-US"/>
              </w:rPr>
            </w:pPr>
          </w:p>
          <w:p w:rsidR="00B615FD" w:rsidRDefault="00B615FD" w:rsidP="002839BF">
            <w:pPr>
              <w:jc w:val="both"/>
              <w:rPr>
                <w:rFonts w:ascii="Verdana" w:hAnsi="Verdana" w:cs="Arial"/>
                <w:sz w:val="20"/>
                <w:szCs w:val="20"/>
              </w:rPr>
            </w:pPr>
            <w:r w:rsidRPr="00005E76">
              <w:rPr>
                <w:rFonts w:ascii="Verdana" w:eastAsiaTheme="minorHAnsi" w:hAnsi="Verdana" w:cs="Verdana"/>
                <w:color w:val="000000"/>
                <w:sz w:val="20"/>
                <w:szCs w:val="20"/>
                <w:lang w:eastAsia="en-US"/>
              </w:rPr>
              <w:t>E</w:t>
            </w:r>
            <w:r w:rsidR="002839BF">
              <w:rPr>
                <w:rFonts w:ascii="Verdana" w:eastAsiaTheme="minorHAnsi" w:hAnsi="Verdana" w:cs="Verdana"/>
                <w:color w:val="000000"/>
                <w:sz w:val="20"/>
                <w:szCs w:val="20"/>
                <w:lang w:eastAsia="en-US"/>
              </w:rPr>
              <w:t xml:space="preserve">l proyecto de Decreto </w:t>
            </w:r>
            <w:r w:rsidR="00E07FCA">
              <w:rPr>
                <w:rFonts w:ascii="Verdana" w:eastAsiaTheme="minorHAnsi" w:hAnsi="Verdana" w:cs="Verdana"/>
                <w:color w:val="000000"/>
                <w:sz w:val="20"/>
                <w:szCs w:val="20"/>
                <w:lang w:eastAsia="en-US"/>
              </w:rPr>
              <w:t xml:space="preserve">no se expide en </w:t>
            </w:r>
            <w:r w:rsidR="00E55BA7">
              <w:rPr>
                <w:rFonts w:ascii="Verdana" w:eastAsiaTheme="minorHAnsi" w:hAnsi="Verdana" w:cs="Verdana"/>
                <w:color w:val="000000"/>
                <w:sz w:val="20"/>
                <w:szCs w:val="20"/>
                <w:lang w:eastAsia="en-US"/>
              </w:rPr>
              <w:t>coordinación con otra entidad pública</w:t>
            </w:r>
            <w:r w:rsidR="002839BF" w:rsidRPr="00B87E36">
              <w:rPr>
                <w:rFonts w:ascii="Verdana" w:eastAsiaTheme="minorHAnsi" w:hAnsi="Verdana" w:cs="Verdana"/>
                <w:color w:val="000000"/>
                <w:sz w:val="20"/>
                <w:szCs w:val="20"/>
                <w:lang w:eastAsia="en-US"/>
              </w:rPr>
              <w:t>.</w:t>
            </w:r>
          </w:p>
          <w:p w:rsidR="002839BF" w:rsidRPr="00005E76" w:rsidRDefault="002839BF" w:rsidP="002839BF">
            <w:pPr>
              <w:jc w:val="both"/>
              <w:rPr>
                <w:rFonts w:ascii="Verdana" w:hAnsi="Verdana" w:cs="Verdana"/>
                <w:sz w:val="20"/>
                <w:szCs w:val="20"/>
              </w:rPr>
            </w:pPr>
          </w:p>
        </w:tc>
      </w:tr>
      <w:tr w:rsidR="00B615FD" w:rsidRPr="00005E76" w:rsidTr="00B615FD">
        <w:tc>
          <w:tcPr>
            <w:tcW w:w="9962" w:type="dxa"/>
            <w:shd w:val="clear" w:color="auto" w:fill="F2F2F2" w:themeFill="background1" w:themeFillShade="F2"/>
          </w:tcPr>
          <w:p w:rsidR="00B615FD" w:rsidRPr="00005E76" w:rsidRDefault="00B615FD" w:rsidP="00B615FD">
            <w:pPr>
              <w:numPr>
                <w:ilvl w:val="0"/>
                <w:numId w:val="1"/>
              </w:numPr>
              <w:jc w:val="center"/>
              <w:rPr>
                <w:rFonts w:ascii="Verdana" w:hAnsi="Verdana" w:cs="Arial"/>
                <w:sz w:val="20"/>
                <w:szCs w:val="20"/>
              </w:rPr>
            </w:pPr>
            <w:r w:rsidRPr="00005E76">
              <w:rPr>
                <w:rFonts w:ascii="Verdana" w:hAnsi="Verdana" w:cs="Arial"/>
                <w:b/>
                <w:sz w:val="20"/>
                <w:szCs w:val="20"/>
              </w:rPr>
              <w:t>Otros</w:t>
            </w:r>
          </w:p>
        </w:tc>
      </w:tr>
      <w:tr w:rsidR="00B615FD" w:rsidRPr="00005E76" w:rsidTr="00B615FD">
        <w:tc>
          <w:tcPr>
            <w:tcW w:w="9962" w:type="dxa"/>
            <w:shd w:val="clear" w:color="auto" w:fill="auto"/>
          </w:tcPr>
          <w:p w:rsidR="00B615FD" w:rsidRDefault="00B615FD" w:rsidP="00B615FD">
            <w:pPr>
              <w:tabs>
                <w:tab w:val="left" w:pos="1141"/>
              </w:tabs>
              <w:jc w:val="both"/>
              <w:rPr>
                <w:rFonts w:ascii="Verdana" w:hAnsi="Verdana" w:cs="Arial"/>
                <w:sz w:val="20"/>
                <w:szCs w:val="20"/>
              </w:rPr>
            </w:pPr>
          </w:p>
          <w:p w:rsidR="00B615FD" w:rsidRPr="00746D1E" w:rsidRDefault="00B615FD" w:rsidP="00B615FD">
            <w:pPr>
              <w:tabs>
                <w:tab w:val="left" w:pos="1141"/>
              </w:tabs>
              <w:jc w:val="both"/>
              <w:rPr>
                <w:rFonts w:ascii="Verdana" w:eastAsiaTheme="minorHAnsi" w:hAnsi="Verdana" w:cs="Verdana"/>
                <w:color w:val="000000"/>
                <w:sz w:val="20"/>
                <w:szCs w:val="20"/>
                <w:lang w:eastAsia="en-US"/>
              </w:rPr>
            </w:pPr>
            <w:r w:rsidRPr="00005E76">
              <w:rPr>
                <w:rFonts w:ascii="Verdana" w:eastAsiaTheme="minorHAnsi" w:hAnsi="Verdana" w:cs="Verdana"/>
                <w:color w:val="000000"/>
                <w:sz w:val="20"/>
                <w:szCs w:val="20"/>
                <w:lang w:eastAsia="en-US"/>
              </w:rPr>
              <w:t xml:space="preserve">El Decreto no incide sobre la libre competencia, por lo que no se diligencia el anexo 1 – relacionado con el </w:t>
            </w:r>
            <w:r w:rsidRPr="00746D1E">
              <w:rPr>
                <w:rFonts w:ascii="Verdana" w:eastAsiaTheme="minorHAnsi" w:hAnsi="Verdana" w:cs="Verdana"/>
                <w:color w:val="000000"/>
                <w:sz w:val="20"/>
                <w:szCs w:val="20"/>
                <w:lang w:eastAsia="en-US"/>
              </w:rPr>
              <w:t xml:space="preserve">Cuestionario de la Superintendencia de Industria y Comercio de acuerdo con lo establecido en la Resolución 44649 de 2010. </w:t>
            </w:r>
          </w:p>
          <w:p w:rsidR="00B615FD" w:rsidRPr="00005E76" w:rsidRDefault="00B615FD" w:rsidP="006F7417">
            <w:pPr>
              <w:tabs>
                <w:tab w:val="left" w:pos="1141"/>
              </w:tabs>
              <w:jc w:val="both"/>
              <w:rPr>
                <w:rFonts w:ascii="Verdana" w:hAnsi="Verdana" w:cs="Arial"/>
                <w:sz w:val="20"/>
                <w:szCs w:val="20"/>
              </w:rPr>
            </w:pPr>
          </w:p>
        </w:tc>
      </w:tr>
    </w:tbl>
    <w:p w:rsidR="00354FEA" w:rsidRPr="00005E76" w:rsidRDefault="00354FEA" w:rsidP="00354FEA">
      <w:pPr>
        <w:jc w:val="both"/>
        <w:rPr>
          <w:rFonts w:ascii="Verdana" w:hAnsi="Verdana" w:cs="Arial"/>
          <w:sz w:val="20"/>
          <w:szCs w:val="20"/>
        </w:rPr>
      </w:pPr>
    </w:p>
    <w:p w:rsidR="000959FB" w:rsidRPr="00005E76" w:rsidRDefault="000959FB" w:rsidP="00354FEA">
      <w:pPr>
        <w:jc w:val="both"/>
        <w:rPr>
          <w:rFonts w:ascii="Verdana" w:hAnsi="Verdana" w:cs="Arial"/>
          <w:sz w:val="20"/>
          <w:szCs w:val="20"/>
        </w:rPr>
      </w:pPr>
      <w:bookmarkStart w:id="1" w:name="48"/>
      <w:bookmarkEnd w:id="1"/>
    </w:p>
    <w:p w:rsidR="00354FEA" w:rsidRDefault="00354FEA" w:rsidP="00354FEA">
      <w:pPr>
        <w:jc w:val="both"/>
        <w:rPr>
          <w:rFonts w:ascii="Verdana" w:eastAsiaTheme="minorHAnsi" w:hAnsi="Verdana" w:cs="Verdana"/>
          <w:color w:val="000000"/>
          <w:sz w:val="20"/>
          <w:szCs w:val="20"/>
          <w:lang w:eastAsia="en-US"/>
        </w:rPr>
      </w:pPr>
      <w:r w:rsidRPr="00005E76">
        <w:rPr>
          <w:rFonts w:ascii="Verdana" w:eastAsiaTheme="minorHAnsi" w:hAnsi="Verdana" w:cs="Verdana"/>
          <w:color w:val="000000"/>
          <w:sz w:val="20"/>
          <w:szCs w:val="20"/>
          <w:lang w:eastAsia="en-US"/>
        </w:rPr>
        <w:t>Cordialmente,</w:t>
      </w:r>
    </w:p>
    <w:p w:rsidR="00395FAF" w:rsidRDefault="00395FAF" w:rsidP="00354FEA">
      <w:pPr>
        <w:jc w:val="both"/>
        <w:rPr>
          <w:rFonts w:ascii="Verdana" w:eastAsiaTheme="minorHAnsi" w:hAnsi="Verdana" w:cs="Verdana"/>
          <w:color w:val="000000"/>
          <w:sz w:val="20"/>
          <w:szCs w:val="20"/>
          <w:lang w:eastAsia="en-US"/>
        </w:rPr>
      </w:pPr>
    </w:p>
    <w:p w:rsidR="00395FAF" w:rsidRDefault="00395FAF" w:rsidP="00354FEA">
      <w:pPr>
        <w:jc w:val="both"/>
        <w:rPr>
          <w:rFonts w:ascii="Verdana" w:eastAsiaTheme="minorHAnsi" w:hAnsi="Verdana" w:cs="Verdana"/>
          <w:color w:val="000000"/>
          <w:sz w:val="20"/>
          <w:szCs w:val="20"/>
          <w:lang w:eastAsia="en-US"/>
        </w:rPr>
      </w:pPr>
    </w:p>
    <w:p w:rsidR="00395FAF" w:rsidRDefault="00395FAF" w:rsidP="00354FEA">
      <w:pPr>
        <w:jc w:val="both"/>
        <w:rPr>
          <w:rFonts w:ascii="Verdana" w:eastAsiaTheme="minorHAnsi" w:hAnsi="Verdana" w:cs="Verdana"/>
          <w:color w:val="000000"/>
          <w:sz w:val="20"/>
          <w:szCs w:val="20"/>
          <w:lang w:eastAsia="en-US"/>
        </w:rPr>
      </w:pPr>
    </w:p>
    <w:p w:rsidR="00395FAF" w:rsidRDefault="00395FAF" w:rsidP="00354FEA">
      <w:pPr>
        <w:jc w:val="both"/>
        <w:rPr>
          <w:rFonts w:ascii="Verdana" w:eastAsiaTheme="minorHAnsi" w:hAnsi="Verdana" w:cs="Verdana"/>
          <w:color w:val="000000"/>
          <w:sz w:val="20"/>
          <w:szCs w:val="20"/>
          <w:lang w:eastAsia="en-US"/>
        </w:rPr>
      </w:pPr>
    </w:p>
    <w:p w:rsidR="00395FAF" w:rsidRPr="002723AE" w:rsidRDefault="00395FAF" w:rsidP="00354FEA">
      <w:pPr>
        <w:jc w:val="both"/>
        <w:rPr>
          <w:rFonts w:ascii="Verdana" w:eastAsiaTheme="minorHAnsi" w:hAnsi="Verdana" w:cs="Verdana"/>
          <w:b/>
          <w:color w:val="000000"/>
          <w:sz w:val="20"/>
          <w:szCs w:val="20"/>
          <w:lang w:eastAsia="en-US"/>
        </w:rPr>
      </w:pPr>
      <w:r w:rsidRPr="002723AE">
        <w:rPr>
          <w:rFonts w:ascii="Verdana" w:eastAsiaTheme="minorHAnsi" w:hAnsi="Verdana" w:cs="Verdana"/>
          <w:b/>
          <w:color w:val="000000"/>
          <w:sz w:val="20"/>
          <w:szCs w:val="20"/>
          <w:lang w:eastAsia="en-US"/>
        </w:rPr>
        <w:t>JUAN MANUEL VARGAS AYALA</w:t>
      </w:r>
    </w:p>
    <w:p w:rsidR="00354FEA" w:rsidRPr="00005E76" w:rsidRDefault="00395FAF" w:rsidP="000959FB">
      <w:pPr>
        <w:jc w:val="both"/>
        <w:rPr>
          <w:rFonts w:ascii="Verdana" w:eastAsiaTheme="minorHAnsi" w:hAnsi="Verdana" w:cs="Verdana"/>
          <w:color w:val="000000"/>
          <w:sz w:val="20"/>
          <w:szCs w:val="20"/>
          <w:lang w:eastAsia="en-US"/>
        </w:rPr>
      </w:pPr>
      <w:r>
        <w:rPr>
          <w:rFonts w:ascii="Verdana" w:eastAsiaTheme="minorHAnsi" w:hAnsi="Verdana" w:cs="Verdana"/>
          <w:color w:val="000000"/>
          <w:sz w:val="20"/>
          <w:szCs w:val="20"/>
          <w:lang w:eastAsia="en-US"/>
        </w:rPr>
        <w:t>Jefe Oficina Asesora Jurídica</w:t>
      </w:r>
    </w:p>
    <w:sectPr w:rsidR="00354FEA" w:rsidRPr="00005E76" w:rsidSect="00E070AE">
      <w:footerReference w:type="default" r:id="rId8"/>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899" w:rsidRDefault="002C2899" w:rsidP="00354FEA">
      <w:r>
        <w:separator/>
      </w:r>
    </w:p>
  </w:endnote>
  <w:endnote w:type="continuationSeparator" w:id="0">
    <w:p w:rsidR="002C2899" w:rsidRDefault="002C2899" w:rsidP="00354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B39" w:rsidRDefault="002C2899" w:rsidP="00E070AE">
    <w:pPr>
      <w:pStyle w:val="Piedepgina"/>
      <w:jc w:val="right"/>
      <w:rPr>
        <w:rFonts w:ascii="Arial Narrow" w:hAnsi="Arial Narrow"/>
        <w:color w:val="000000"/>
        <w:sz w:val="14"/>
        <w:szCs w:val="14"/>
      </w:rPr>
    </w:pPr>
  </w:p>
  <w:p w:rsidR="00E070AE" w:rsidRDefault="003D5EE8" w:rsidP="00E070AE">
    <w:pPr>
      <w:pStyle w:val="Piedepgina"/>
      <w:jc w:val="right"/>
    </w:pPr>
    <w:r w:rsidRPr="00E632EB">
      <w:rPr>
        <w:rFonts w:ascii="Arial Narrow" w:hAnsi="Arial Narrow"/>
        <w:color w:val="000000"/>
        <w:sz w:val="14"/>
        <w:szCs w:val="14"/>
      </w:rPr>
      <w:t xml:space="preserve">Página </w:t>
    </w:r>
    <w:r w:rsidRPr="00E632EB">
      <w:rPr>
        <w:rFonts w:ascii="Arial Narrow" w:hAnsi="Arial Narrow"/>
        <w:color w:val="000000"/>
        <w:sz w:val="14"/>
        <w:szCs w:val="14"/>
      </w:rPr>
      <w:fldChar w:fldCharType="begin"/>
    </w:r>
    <w:r w:rsidRPr="00E632EB">
      <w:rPr>
        <w:rFonts w:ascii="Arial Narrow" w:hAnsi="Arial Narrow"/>
        <w:color w:val="000000"/>
        <w:sz w:val="14"/>
        <w:szCs w:val="14"/>
      </w:rPr>
      <w:instrText xml:space="preserve"> PAGE </w:instrText>
    </w:r>
    <w:r w:rsidRPr="00E632EB">
      <w:rPr>
        <w:rFonts w:ascii="Arial Narrow" w:hAnsi="Arial Narrow"/>
        <w:color w:val="000000"/>
        <w:sz w:val="14"/>
        <w:szCs w:val="14"/>
      </w:rPr>
      <w:fldChar w:fldCharType="separate"/>
    </w:r>
    <w:r w:rsidR="00C510EB">
      <w:rPr>
        <w:rFonts w:ascii="Arial Narrow" w:hAnsi="Arial Narrow"/>
        <w:noProof/>
        <w:color w:val="000000"/>
        <w:sz w:val="14"/>
        <w:szCs w:val="14"/>
      </w:rPr>
      <w:t>4</w:t>
    </w:r>
    <w:r w:rsidRPr="00E632EB">
      <w:rPr>
        <w:rFonts w:ascii="Arial Narrow" w:hAnsi="Arial Narrow"/>
        <w:color w:val="000000"/>
        <w:sz w:val="14"/>
        <w:szCs w:val="14"/>
      </w:rPr>
      <w:fldChar w:fldCharType="end"/>
    </w:r>
    <w:r w:rsidRPr="00E632EB">
      <w:rPr>
        <w:rFonts w:ascii="Arial Narrow" w:hAnsi="Arial Narrow"/>
        <w:color w:val="000000"/>
        <w:sz w:val="14"/>
        <w:szCs w:val="14"/>
      </w:rPr>
      <w:t xml:space="preserve"> de </w:t>
    </w:r>
    <w:r w:rsidRPr="00E632EB">
      <w:rPr>
        <w:rFonts w:ascii="Arial Narrow" w:hAnsi="Arial Narrow"/>
        <w:color w:val="000000"/>
        <w:sz w:val="14"/>
        <w:szCs w:val="14"/>
      </w:rPr>
      <w:fldChar w:fldCharType="begin"/>
    </w:r>
    <w:r w:rsidRPr="00E632EB">
      <w:rPr>
        <w:rFonts w:ascii="Arial Narrow" w:hAnsi="Arial Narrow"/>
        <w:color w:val="000000"/>
        <w:sz w:val="14"/>
        <w:szCs w:val="14"/>
      </w:rPr>
      <w:instrText xml:space="preserve"> NUMPAGES </w:instrText>
    </w:r>
    <w:r w:rsidRPr="00E632EB">
      <w:rPr>
        <w:rFonts w:ascii="Arial Narrow" w:hAnsi="Arial Narrow"/>
        <w:color w:val="000000"/>
        <w:sz w:val="14"/>
        <w:szCs w:val="14"/>
      </w:rPr>
      <w:fldChar w:fldCharType="separate"/>
    </w:r>
    <w:r w:rsidR="00C510EB">
      <w:rPr>
        <w:rFonts w:ascii="Arial Narrow" w:hAnsi="Arial Narrow"/>
        <w:noProof/>
        <w:color w:val="000000"/>
        <w:sz w:val="14"/>
        <w:szCs w:val="14"/>
      </w:rPr>
      <w:t>4</w:t>
    </w:r>
    <w:r w:rsidRPr="00E632EB">
      <w:rPr>
        <w:rFonts w:ascii="Arial Narrow" w:hAnsi="Arial Narrow"/>
        <w:color w:val="000000"/>
        <w:sz w:val="14"/>
        <w:szCs w:val="14"/>
      </w:rPr>
      <w:fldChar w:fldCharType="end"/>
    </w:r>
  </w:p>
  <w:p w:rsidR="006F3A0D" w:rsidRDefault="002C289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899" w:rsidRDefault="002C2899" w:rsidP="00354FEA">
      <w:r>
        <w:separator/>
      </w:r>
    </w:p>
  </w:footnote>
  <w:footnote w:type="continuationSeparator" w:id="0">
    <w:p w:rsidR="002C2899" w:rsidRDefault="002C2899" w:rsidP="00354FEA">
      <w:r>
        <w:continuationSeparator/>
      </w:r>
    </w:p>
  </w:footnote>
  <w:footnote w:id="1">
    <w:p w:rsidR="00354FEA" w:rsidRPr="009F0348" w:rsidRDefault="00354FEA" w:rsidP="007A12BA">
      <w:pPr>
        <w:pStyle w:val="Textonotapie"/>
        <w:jc w:val="both"/>
        <w:rPr>
          <w:rFonts w:ascii="Verdana" w:hAnsi="Verdana"/>
        </w:rPr>
      </w:pPr>
      <w:r w:rsidRPr="009F0348">
        <w:rPr>
          <w:rStyle w:val="Refdenotaalpie"/>
          <w:rFonts w:ascii="Verdana" w:hAnsi="Verdana"/>
          <w:sz w:val="18"/>
        </w:rPr>
        <w:footnoteRef/>
      </w:r>
      <w:r w:rsidRPr="009F0348">
        <w:rPr>
          <w:rFonts w:ascii="Verdana" w:hAnsi="Verdana"/>
          <w:sz w:val="18"/>
        </w:rPr>
        <w:t xml:space="preserve"> El contenido de este documento incluye los requerimientos de la etapa previa, de que trata el Anexo </w:t>
      </w:r>
      <w:r w:rsidR="002723AE">
        <w:rPr>
          <w:rFonts w:ascii="Verdana" w:hAnsi="Verdana"/>
          <w:sz w:val="18"/>
        </w:rPr>
        <w:t>A</w:t>
      </w:r>
      <w:r w:rsidRPr="009F0348">
        <w:rPr>
          <w:rFonts w:ascii="Verdana" w:hAnsi="Verdana"/>
          <w:sz w:val="18"/>
        </w:rPr>
        <w:t xml:space="preserve"> que hace referencia el Decreto 1081 de 2015, en lo relacionado con las directrices generales de técnica normativa.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B7019"/>
    <w:multiLevelType w:val="hybridMultilevel"/>
    <w:tmpl w:val="582293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DB05729"/>
    <w:multiLevelType w:val="hybridMultilevel"/>
    <w:tmpl w:val="63C86F3E"/>
    <w:lvl w:ilvl="0" w:tplc="1D64FB60">
      <w:start w:val="1"/>
      <w:numFmt w:val="decimal"/>
      <w:lvlText w:val="%1."/>
      <w:lvlJc w:val="left"/>
      <w:pPr>
        <w:ind w:left="360" w:hanging="360"/>
      </w:pPr>
      <w:rPr>
        <w:rFonts w:cs="Times New Roman" w:hint="default"/>
        <w:b/>
      </w:rPr>
    </w:lvl>
    <w:lvl w:ilvl="1" w:tplc="09602638">
      <w:start w:val="1"/>
      <w:numFmt w:val="upperRoman"/>
      <w:lvlText w:val="%2."/>
      <w:lvlJc w:val="right"/>
      <w:pPr>
        <w:ind w:left="1080" w:hanging="360"/>
      </w:pPr>
      <w:rPr>
        <w:b/>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 w15:restartNumberingAfterBreak="0">
    <w:nsid w:val="5E274AD2"/>
    <w:multiLevelType w:val="hybridMultilevel"/>
    <w:tmpl w:val="25884C50"/>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FEA"/>
    <w:rsid w:val="00005E76"/>
    <w:rsid w:val="0003784A"/>
    <w:rsid w:val="000753C9"/>
    <w:rsid w:val="00092355"/>
    <w:rsid w:val="000959FB"/>
    <w:rsid w:val="000A62F9"/>
    <w:rsid w:val="000B3B98"/>
    <w:rsid w:val="000C70B0"/>
    <w:rsid w:val="00145C0D"/>
    <w:rsid w:val="001725F8"/>
    <w:rsid w:val="001E4A8A"/>
    <w:rsid w:val="00221F0B"/>
    <w:rsid w:val="002372E1"/>
    <w:rsid w:val="002723AE"/>
    <w:rsid w:val="002723EB"/>
    <w:rsid w:val="00275B1F"/>
    <w:rsid w:val="00276D6E"/>
    <w:rsid w:val="002839BF"/>
    <w:rsid w:val="00285EE6"/>
    <w:rsid w:val="002C2899"/>
    <w:rsid w:val="002D5A3F"/>
    <w:rsid w:val="002E023D"/>
    <w:rsid w:val="002E5AC1"/>
    <w:rsid w:val="00304B49"/>
    <w:rsid w:val="00320F8D"/>
    <w:rsid w:val="00335743"/>
    <w:rsid w:val="003410BA"/>
    <w:rsid w:val="00354FEA"/>
    <w:rsid w:val="0038132E"/>
    <w:rsid w:val="00382DA7"/>
    <w:rsid w:val="00395FAF"/>
    <w:rsid w:val="00397AC7"/>
    <w:rsid w:val="003B514F"/>
    <w:rsid w:val="003D5EE8"/>
    <w:rsid w:val="00456787"/>
    <w:rsid w:val="00467763"/>
    <w:rsid w:val="004D752F"/>
    <w:rsid w:val="004E2C41"/>
    <w:rsid w:val="004E578C"/>
    <w:rsid w:val="00520117"/>
    <w:rsid w:val="00531C9F"/>
    <w:rsid w:val="00553CFB"/>
    <w:rsid w:val="005A4079"/>
    <w:rsid w:val="005B1D8C"/>
    <w:rsid w:val="005B51F4"/>
    <w:rsid w:val="00625AD7"/>
    <w:rsid w:val="00661D31"/>
    <w:rsid w:val="00695F5C"/>
    <w:rsid w:val="006C0763"/>
    <w:rsid w:val="006F5868"/>
    <w:rsid w:val="006F7417"/>
    <w:rsid w:val="00712D98"/>
    <w:rsid w:val="00746D1E"/>
    <w:rsid w:val="007A12BA"/>
    <w:rsid w:val="007C7FC3"/>
    <w:rsid w:val="007E0ABA"/>
    <w:rsid w:val="007F6B38"/>
    <w:rsid w:val="00832788"/>
    <w:rsid w:val="00853FB3"/>
    <w:rsid w:val="008548D1"/>
    <w:rsid w:val="008B3DA5"/>
    <w:rsid w:val="008B4389"/>
    <w:rsid w:val="008D2CAE"/>
    <w:rsid w:val="008D3229"/>
    <w:rsid w:val="00912177"/>
    <w:rsid w:val="00977F87"/>
    <w:rsid w:val="009C02FD"/>
    <w:rsid w:val="009F0348"/>
    <w:rsid w:val="00A00303"/>
    <w:rsid w:val="00A45199"/>
    <w:rsid w:val="00A64A2C"/>
    <w:rsid w:val="00A8453D"/>
    <w:rsid w:val="00AC565F"/>
    <w:rsid w:val="00B03724"/>
    <w:rsid w:val="00B44751"/>
    <w:rsid w:val="00B615FD"/>
    <w:rsid w:val="00B64061"/>
    <w:rsid w:val="00B84ECE"/>
    <w:rsid w:val="00B87E36"/>
    <w:rsid w:val="00BD6902"/>
    <w:rsid w:val="00C1119B"/>
    <w:rsid w:val="00C17BA2"/>
    <w:rsid w:val="00C270AC"/>
    <w:rsid w:val="00C47754"/>
    <w:rsid w:val="00C510EB"/>
    <w:rsid w:val="00CA082D"/>
    <w:rsid w:val="00D62FF6"/>
    <w:rsid w:val="00DC0748"/>
    <w:rsid w:val="00DE4C07"/>
    <w:rsid w:val="00E07FCA"/>
    <w:rsid w:val="00E375DD"/>
    <w:rsid w:val="00E44E44"/>
    <w:rsid w:val="00E55BA7"/>
    <w:rsid w:val="00E80797"/>
    <w:rsid w:val="00ED4014"/>
    <w:rsid w:val="00F37DA3"/>
    <w:rsid w:val="00FB652F"/>
    <w:rsid w:val="00FC139A"/>
    <w:rsid w:val="00FE413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DBD240-53C8-4871-8CE4-982CA8A1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FE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1,encabezado,Encabezado Car Car Car Car Car,Encabezado Car Car Car"/>
    <w:basedOn w:val="Normal"/>
    <w:link w:val="EncabezadoCar"/>
    <w:uiPriority w:val="99"/>
    <w:unhideWhenUsed/>
    <w:rsid w:val="00354FEA"/>
    <w:pPr>
      <w:tabs>
        <w:tab w:val="center" w:pos="4419"/>
        <w:tab w:val="right" w:pos="8838"/>
      </w:tabs>
    </w:pPr>
    <w:rPr>
      <w:rFonts w:ascii="Calibri" w:eastAsia="Calibri" w:hAnsi="Calibri"/>
      <w:sz w:val="22"/>
      <w:szCs w:val="22"/>
      <w:lang w:eastAsia="en-US"/>
    </w:rPr>
  </w:style>
  <w:style w:type="character" w:customStyle="1" w:styleId="EncabezadoCar">
    <w:name w:val="Encabezado Car"/>
    <w:aliases w:val="Encabezado1 Car,encabezado Car,Encabezado Car Car Car Car Car Car,Encabezado Car Car Car Car"/>
    <w:basedOn w:val="Fuentedeprrafopredeter"/>
    <w:link w:val="Encabezado"/>
    <w:uiPriority w:val="99"/>
    <w:rsid w:val="00354FEA"/>
    <w:rPr>
      <w:rFonts w:ascii="Calibri" w:eastAsia="Calibri" w:hAnsi="Calibri" w:cs="Times New Roman"/>
    </w:rPr>
  </w:style>
  <w:style w:type="paragraph" w:styleId="Piedepgina">
    <w:name w:val="footer"/>
    <w:basedOn w:val="Normal"/>
    <w:link w:val="PiedepginaCar"/>
    <w:uiPriority w:val="99"/>
    <w:unhideWhenUsed/>
    <w:rsid w:val="00354FEA"/>
    <w:pPr>
      <w:tabs>
        <w:tab w:val="center" w:pos="4419"/>
        <w:tab w:val="right" w:pos="8838"/>
      </w:tabs>
    </w:pPr>
    <w:rPr>
      <w:rFonts w:ascii="Calibri" w:eastAsia="Calibri" w:hAnsi="Calibri"/>
      <w:sz w:val="22"/>
      <w:szCs w:val="22"/>
      <w:lang w:eastAsia="en-US"/>
    </w:rPr>
  </w:style>
  <w:style w:type="character" w:customStyle="1" w:styleId="PiedepginaCar">
    <w:name w:val="Pie de página Car"/>
    <w:basedOn w:val="Fuentedeprrafopredeter"/>
    <w:link w:val="Piedepgina"/>
    <w:uiPriority w:val="99"/>
    <w:rsid w:val="00354FEA"/>
    <w:rPr>
      <w:rFonts w:ascii="Calibri" w:eastAsia="Calibri" w:hAnsi="Calibri" w:cs="Times New Roman"/>
    </w:rPr>
  </w:style>
  <w:style w:type="paragraph" w:customStyle="1" w:styleId="epgrafe">
    <w:name w:val="epgrafe"/>
    <w:basedOn w:val="Normal"/>
    <w:rsid w:val="00354FEA"/>
    <w:pPr>
      <w:spacing w:before="100" w:beforeAutospacing="1" w:after="100" w:afterAutospacing="1"/>
    </w:pPr>
    <w:rPr>
      <w:rFonts w:eastAsia="Calibri"/>
      <w:lang w:val="es-ES"/>
    </w:rPr>
  </w:style>
  <w:style w:type="paragraph" w:styleId="Prrafodelista">
    <w:name w:val="List Paragraph"/>
    <w:basedOn w:val="Normal"/>
    <w:uiPriority w:val="34"/>
    <w:qFormat/>
    <w:rsid w:val="00354FEA"/>
    <w:pPr>
      <w:ind w:left="720"/>
      <w:contextualSpacing/>
    </w:pPr>
  </w:style>
  <w:style w:type="paragraph" w:customStyle="1" w:styleId="Prrafodelista1">
    <w:name w:val="Párrafo de lista1"/>
    <w:basedOn w:val="Normal"/>
    <w:rsid w:val="00354FEA"/>
    <w:pPr>
      <w:ind w:left="720"/>
    </w:pPr>
    <w:rPr>
      <w:lang w:val="es-ES_tradnl"/>
    </w:rPr>
  </w:style>
  <w:style w:type="paragraph" w:styleId="Sinespaciado">
    <w:name w:val="No Spacing"/>
    <w:uiPriority w:val="1"/>
    <w:qFormat/>
    <w:rsid w:val="00354FEA"/>
    <w:pPr>
      <w:spacing w:after="0" w:line="240" w:lineRule="auto"/>
    </w:pPr>
    <w:rPr>
      <w:rFonts w:ascii="Times New Roman" w:eastAsia="Times New Roman" w:hAnsi="Times New Roman" w:cs="Times New Roman"/>
      <w:sz w:val="24"/>
      <w:szCs w:val="24"/>
      <w:lang w:val="es-ES_tradnl" w:eastAsia="es-ES"/>
    </w:rPr>
  </w:style>
  <w:style w:type="character" w:customStyle="1" w:styleId="Bodytext10">
    <w:name w:val="Body text (10)"/>
    <w:link w:val="Bodytext101"/>
    <w:uiPriority w:val="99"/>
    <w:rsid w:val="00354FEA"/>
    <w:rPr>
      <w:b/>
      <w:bCs/>
      <w:shd w:val="clear" w:color="auto" w:fill="FFFFFF"/>
    </w:rPr>
  </w:style>
  <w:style w:type="paragraph" w:customStyle="1" w:styleId="Bodytext101">
    <w:name w:val="Body text (10)1"/>
    <w:basedOn w:val="Normal"/>
    <w:link w:val="Bodytext10"/>
    <w:uiPriority w:val="99"/>
    <w:rsid w:val="00354FEA"/>
    <w:pPr>
      <w:shd w:val="clear" w:color="auto" w:fill="FFFFFF"/>
      <w:spacing w:before="180" w:after="300" w:line="240" w:lineRule="atLeast"/>
    </w:pPr>
    <w:rPr>
      <w:rFonts w:asciiTheme="minorHAnsi" w:eastAsiaTheme="minorHAnsi" w:hAnsiTheme="minorHAnsi" w:cstheme="minorBidi"/>
      <w:b/>
      <w:bCs/>
      <w:sz w:val="22"/>
      <w:szCs w:val="22"/>
      <w:lang w:eastAsia="en-US"/>
    </w:rPr>
  </w:style>
  <w:style w:type="paragraph" w:styleId="NormalWeb">
    <w:name w:val="Normal (Web)"/>
    <w:basedOn w:val="Normal"/>
    <w:uiPriority w:val="99"/>
    <w:unhideWhenUsed/>
    <w:rsid w:val="00354FEA"/>
    <w:pPr>
      <w:spacing w:before="100" w:beforeAutospacing="1" w:after="100" w:afterAutospacing="1"/>
    </w:pPr>
    <w:rPr>
      <w:lang w:eastAsia="es-CO"/>
    </w:rPr>
  </w:style>
  <w:style w:type="paragraph" w:styleId="Textonotapie">
    <w:name w:val="footnote text"/>
    <w:basedOn w:val="Normal"/>
    <w:link w:val="TextonotapieCar"/>
    <w:uiPriority w:val="99"/>
    <w:semiHidden/>
    <w:unhideWhenUsed/>
    <w:rsid w:val="00354FEA"/>
    <w:rPr>
      <w:sz w:val="20"/>
      <w:szCs w:val="20"/>
    </w:rPr>
  </w:style>
  <w:style w:type="character" w:customStyle="1" w:styleId="TextonotapieCar">
    <w:name w:val="Texto nota pie Car"/>
    <w:basedOn w:val="Fuentedeprrafopredeter"/>
    <w:link w:val="Textonotapie"/>
    <w:uiPriority w:val="99"/>
    <w:semiHidden/>
    <w:rsid w:val="00354FEA"/>
    <w:rPr>
      <w:rFonts w:ascii="Times New Roman" w:eastAsia="Times New Roman" w:hAnsi="Times New Roman" w:cs="Times New Roman"/>
      <w:sz w:val="20"/>
      <w:szCs w:val="20"/>
      <w:lang w:eastAsia="es-ES"/>
    </w:rPr>
  </w:style>
  <w:style w:type="character" w:styleId="Refdenotaalpie">
    <w:name w:val="footnote reference"/>
    <w:uiPriority w:val="99"/>
    <w:semiHidden/>
    <w:unhideWhenUsed/>
    <w:rsid w:val="00354FEA"/>
    <w:rPr>
      <w:vertAlign w:val="superscript"/>
    </w:rPr>
  </w:style>
  <w:style w:type="paragraph" w:customStyle="1" w:styleId="Default">
    <w:name w:val="Default"/>
    <w:rsid w:val="00354FEA"/>
    <w:pPr>
      <w:autoSpaceDE w:val="0"/>
      <w:autoSpaceDN w:val="0"/>
      <w:adjustRightInd w:val="0"/>
      <w:spacing w:after="0" w:line="240" w:lineRule="auto"/>
    </w:pPr>
    <w:rPr>
      <w:rFonts w:ascii="Verdana" w:hAnsi="Verdana" w:cs="Verdana"/>
      <w:color w:val="000000"/>
      <w:sz w:val="24"/>
      <w:szCs w:val="24"/>
    </w:rPr>
  </w:style>
  <w:style w:type="paragraph" w:styleId="Textodeglobo">
    <w:name w:val="Balloon Text"/>
    <w:basedOn w:val="Normal"/>
    <w:link w:val="TextodegloboCar"/>
    <w:uiPriority w:val="99"/>
    <w:semiHidden/>
    <w:unhideWhenUsed/>
    <w:rsid w:val="001725F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25F8"/>
    <w:rPr>
      <w:rFonts w:ascii="Segoe UI" w:eastAsia="Times New Roman" w:hAnsi="Segoe UI" w:cs="Segoe UI"/>
      <w:sz w:val="18"/>
      <w:szCs w:val="18"/>
      <w:lang w:eastAsia="es-ES"/>
    </w:rPr>
  </w:style>
  <w:style w:type="character" w:styleId="Refdecomentario">
    <w:name w:val="annotation reference"/>
    <w:rsid w:val="009F0348"/>
    <w:rPr>
      <w:sz w:val="16"/>
    </w:rPr>
  </w:style>
  <w:style w:type="paragraph" w:styleId="Textocomentario">
    <w:name w:val="annotation text"/>
    <w:basedOn w:val="Normal"/>
    <w:link w:val="TextocomentarioCar"/>
    <w:rsid w:val="009F0348"/>
    <w:pPr>
      <w:autoSpaceDE w:val="0"/>
      <w:autoSpaceDN w:val="0"/>
    </w:pPr>
    <w:rPr>
      <w:rFonts w:ascii="Arial" w:hAnsi="Arial"/>
      <w:color w:val="000000"/>
      <w:sz w:val="20"/>
      <w:szCs w:val="20"/>
      <w:lang w:val="x-none"/>
    </w:rPr>
  </w:style>
  <w:style w:type="character" w:customStyle="1" w:styleId="TextocomentarioCar">
    <w:name w:val="Texto comentario Car"/>
    <w:basedOn w:val="Fuentedeprrafopredeter"/>
    <w:link w:val="Textocomentario"/>
    <w:rsid w:val="009F0348"/>
    <w:rPr>
      <w:rFonts w:ascii="Arial" w:eastAsia="Times New Roman" w:hAnsi="Arial" w:cs="Times New Roman"/>
      <w:color w:val="000000"/>
      <w:sz w:val="20"/>
      <w:szCs w:val="20"/>
      <w:lang w:val="x-none" w:eastAsia="es-ES"/>
    </w:rPr>
  </w:style>
  <w:style w:type="character" w:customStyle="1" w:styleId="apple-converted-space">
    <w:name w:val="apple-converted-space"/>
    <w:rsid w:val="009F0348"/>
  </w:style>
  <w:style w:type="character" w:styleId="Hipervnculo">
    <w:name w:val="Hyperlink"/>
    <w:basedOn w:val="Fuentedeprrafopredeter"/>
    <w:uiPriority w:val="99"/>
    <w:unhideWhenUsed/>
    <w:rsid w:val="00D62F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588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e9388c0-b1e2-40ea-b6a8-c51c7913cbd2">H7EN5MXTHQNV-662-1792</_dlc_DocId>
    <_dlc_DocIdUrl xmlns="ae9388c0-b1e2-40ea-b6a8-c51c7913cbd2">
      <Url>https://www.mincultura.gov.co/prensa/noticias/_layouts/15/DocIdRedir.aspx?ID=H7EN5MXTHQNV-662-1792</Url>
      <Description>H7EN5MXTHQNV-662-1792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FDA341872286834AB0D54B93028EBD96" ma:contentTypeVersion="2" ma:contentTypeDescription="Crear nuevo documento." ma:contentTypeScope="" ma:versionID="af9882422a04ea6c210bf5d297301c2e">
  <xsd:schema xmlns:xsd="http://www.w3.org/2001/XMLSchema" xmlns:xs="http://www.w3.org/2001/XMLSchema" xmlns:p="http://schemas.microsoft.com/office/2006/metadata/properties" xmlns:ns1="http://schemas.microsoft.com/sharepoint/v3" xmlns:ns2="ae9388c0-b1e2-40ea-b6a8-c51c7913cbd2" targetNamespace="http://schemas.microsoft.com/office/2006/metadata/properties" ma:root="true" ma:fieldsID="d0f0e5129732e54c1667a323f30384e6" ns1:_="" ns2:_="">
    <xsd:import namespace="http://schemas.microsoft.com/sharepoint/v3"/>
    <xsd:import namespace="ae9388c0-b1e2-40ea-b6a8-c51c7913cbd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7653EF-37B8-400B-89C3-F0FE6AFAB9F0}"/>
</file>

<file path=customXml/itemProps2.xml><?xml version="1.0" encoding="utf-8"?>
<ds:datastoreItem xmlns:ds="http://schemas.openxmlformats.org/officeDocument/2006/customXml" ds:itemID="{F5BD989F-36FC-4619-8E36-7F3F3DCCAC7A}"/>
</file>

<file path=customXml/itemProps3.xml><?xml version="1.0" encoding="utf-8"?>
<ds:datastoreItem xmlns:ds="http://schemas.openxmlformats.org/officeDocument/2006/customXml" ds:itemID="{E847C52E-6DF6-4291-8412-6C903188D9B3}"/>
</file>

<file path=customXml/itemProps4.xml><?xml version="1.0" encoding="utf-8"?>
<ds:datastoreItem xmlns:ds="http://schemas.openxmlformats.org/officeDocument/2006/customXml" ds:itemID="{0715BA6B-2829-4D4A-B1B5-B3A0F1CCAC1A}"/>
</file>

<file path=docProps/app.xml><?xml version="1.0" encoding="utf-8"?>
<Properties xmlns="http://schemas.openxmlformats.org/officeDocument/2006/extended-properties" xmlns:vt="http://schemas.openxmlformats.org/officeDocument/2006/docPropsVTypes">
  <Template>Normal</Template>
  <TotalTime>5</TotalTime>
  <Pages>1</Pages>
  <Words>1322</Words>
  <Characters>7272</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July Esperanza Gonzalez Monsalve</dc:creator>
  <cp:lastModifiedBy>Maria Alejandra Caicedo</cp:lastModifiedBy>
  <cp:revision>5</cp:revision>
  <cp:lastPrinted>2018-12-20T21:12:00Z</cp:lastPrinted>
  <dcterms:created xsi:type="dcterms:W3CDTF">2018-12-20T21:06:00Z</dcterms:created>
  <dcterms:modified xsi:type="dcterms:W3CDTF">2018-12-20T21:12:00Z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0x010100FDA341872286834AB0D54B93028EBD96</vt:lpwstr>
  </property>
  <property fmtid="{D5CDD505-2E9C-101B-9397-08002B2CF9AE}" pid="3" name="_dlc_DocIdItemGuid">
    <vt:lpwstr>c9dd9035-f93e-4d8a-9b6f-6cd382f4b9d1</vt:lpwstr>
  </property>
</Properties>
</file>