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953A2" w14:textId="77777777" w:rsidR="00C47C6A" w:rsidRDefault="00C47C6A" w:rsidP="00445771">
      <w:pPr>
        <w:pStyle w:val="Sinespaciado"/>
        <w:jc w:val="center"/>
        <w:rPr>
          <w:rFonts w:ascii="Arial" w:hAnsi="Arial" w:cs="Arial"/>
          <w:sz w:val="22"/>
          <w:szCs w:val="22"/>
          <w:lang w:val="es-CO"/>
        </w:rPr>
      </w:pPr>
    </w:p>
    <w:p w14:paraId="31964493" w14:textId="0F77260C" w:rsidR="00983CB5" w:rsidRDefault="00445771" w:rsidP="00445771">
      <w:pPr>
        <w:suppressAutoHyphens/>
        <w:ind w:left="2835" w:hanging="2835"/>
        <w:jc w:val="center"/>
        <w:rPr>
          <w:rFonts w:ascii="Arial" w:hAnsi="Arial" w:cs="Arial"/>
          <w:b/>
          <w:sz w:val="22"/>
          <w:szCs w:val="22"/>
        </w:rPr>
      </w:pPr>
      <w:r w:rsidRPr="00445771">
        <w:rPr>
          <w:rFonts w:ascii="Arial" w:hAnsi="Arial" w:cs="Arial"/>
          <w:b/>
          <w:sz w:val="22"/>
          <w:szCs w:val="22"/>
        </w:rPr>
        <w:t>INFOME GLOBAL DE COMENTARIOS</w:t>
      </w:r>
    </w:p>
    <w:p w14:paraId="4BECCFA0" w14:textId="77777777" w:rsidR="00445771" w:rsidRDefault="00445771" w:rsidP="00445771">
      <w:pPr>
        <w:suppressAutoHyphens/>
        <w:ind w:left="2835" w:hanging="2835"/>
        <w:jc w:val="center"/>
        <w:rPr>
          <w:rFonts w:ascii="Arial" w:hAnsi="Arial" w:cs="Arial"/>
          <w:b/>
          <w:sz w:val="22"/>
          <w:szCs w:val="22"/>
        </w:rPr>
      </w:pPr>
    </w:p>
    <w:p w14:paraId="53DC6C78" w14:textId="06735ECB" w:rsidR="00445771" w:rsidRDefault="00445771" w:rsidP="00453BEA">
      <w:pPr>
        <w:suppressAutoHyphens/>
        <w:jc w:val="center"/>
        <w:rPr>
          <w:rFonts w:ascii="Arial" w:hAnsi="Arial" w:cs="Arial"/>
          <w:b/>
          <w:sz w:val="22"/>
          <w:szCs w:val="22"/>
        </w:rPr>
      </w:pPr>
      <w:r>
        <w:rPr>
          <w:rFonts w:ascii="Arial" w:hAnsi="Arial" w:cs="Arial"/>
          <w:b/>
          <w:sz w:val="22"/>
          <w:szCs w:val="22"/>
        </w:rPr>
        <w:t>Proyecto de Decreto: “</w:t>
      </w:r>
      <w:r w:rsidR="00453BEA" w:rsidRPr="00453BEA">
        <w:rPr>
          <w:rFonts w:ascii="Arial" w:hAnsi="Arial" w:cs="Arial"/>
          <w:b/>
          <w:sz w:val="22"/>
          <w:szCs w:val="22"/>
        </w:rPr>
        <w:t>Por el cual se modifica la Parte VI “Patrimonio Arqueológico” del Decreto 1080 de 2015, Decreto</w:t>
      </w:r>
      <w:r w:rsidR="00453BEA">
        <w:rPr>
          <w:rFonts w:ascii="Arial" w:hAnsi="Arial" w:cs="Arial"/>
          <w:b/>
          <w:sz w:val="22"/>
          <w:szCs w:val="22"/>
        </w:rPr>
        <w:t xml:space="preserve"> </w:t>
      </w:r>
      <w:r w:rsidR="00453BEA" w:rsidRPr="00453BEA">
        <w:rPr>
          <w:rFonts w:ascii="Arial" w:hAnsi="Arial" w:cs="Arial"/>
          <w:b/>
          <w:sz w:val="22"/>
          <w:szCs w:val="22"/>
        </w:rPr>
        <w:t>Único Reglamentario del Sector Cultura</w:t>
      </w:r>
      <w:r>
        <w:rPr>
          <w:rFonts w:ascii="Arial" w:hAnsi="Arial" w:cs="Arial"/>
          <w:b/>
          <w:sz w:val="22"/>
          <w:szCs w:val="22"/>
        </w:rPr>
        <w:t>”</w:t>
      </w:r>
    </w:p>
    <w:p w14:paraId="071A1A7F" w14:textId="0C19916E" w:rsidR="00445771" w:rsidRPr="00445771" w:rsidRDefault="00445771" w:rsidP="00445771">
      <w:pPr>
        <w:suppressAutoHyphens/>
        <w:ind w:left="2835" w:hanging="2835"/>
        <w:jc w:val="center"/>
        <w:rPr>
          <w:rFonts w:ascii="Arial" w:hAnsi="Arial" w:cs="Arial"/>
          <w:b/>
          <w:i/>
          <w:sz w:val="22"/>
          <w:szCs w:val="22"/>
        </w:rPr>
      </w:pPr>
      <w:r w:rsidRPr="00445771">
        <w:rPr>
          <w:rFonts w:ascii="Arial" w:hAnsi="Arial" w:cs="Arial"/>
          <w:b/>
          <w:i/>
          <w:sz w:val="22"/>
          <w:szCs w:val="22"/>
        </w:rPr>
        <w:t>(</w:t>
      </w:r>
      <w:proofErr w:type="gramStart"/>
      <w:r w:rsidRPr="00445771">
        <w:rPr>
          <w:rFonts w:ascii="Arial" w:hAnsi="Arial" w:cs="Arial"/>
          <w:b/>
          <w:i/>
          <w:sz w:val="22"/>
          <w:szCs w:val="22"/>
        </w:rPr>
        <w:t>numeral</w:t>
      </w:r>
      <w:proofErr w:type="gramEnd"/>
      <w:r w:rsidRPr="00445771">
        <w:rPr>
          <w:rFonts w:ascii="Arial" w:hAnsi="Arial" w:cs="Arial"/>
          <w:b/>
          <w:i/>
          <w:sz w:val="22"/>
          <w:szCs w:val="22"/>
        </w:rPr>
        <w:t xml:space="preserve"> 10 artículo 2.1.2.1.25. del Decreto 1081 de 2015) </w:t>
      </w:r>
    </w:p>
    <w:p w14:paraId="68FB5EC4" w14:textId="77777777" w:rsidR="00445771" w:rsidRDefault="00445771" w:rsidP="00445771">
      <w:pPr>
        <w:suppressAutoHyphens/>
        <w:ind w:left="2835" w:hanging="2835"/>
        <w:jc w:val="center"/>
        <w:rPr>
          <w:rFonts w:ascii="Arial" w:hAnsi="Arial" w:cs="Arial"/>
          <w:sz w:val="22"/>
          <w:szCs w:val="22"/>
        </w:rPr>
      </w:pPr>
    </w:p>
    <w:p w14:paraId="0E6F7F31" w14:textId="76B2A377" w:rsidR="00445771" w:rsidRPr="00445771" w:rsidRDefault="00445771" w:rsidP="00445771">
      <w:pPr>
        <w:suppressAutoHyphens/>
        <w:rPr>
          <w:rFonts w:ascii="Arial" w:hAnsi="Arial" w:cs="Arial"/>
          <w:b/>
          <w:sz w:val="22"/>
          <w:szCs w:val="22"/>
        </w:rPr>
      </w:pPr>
      <w:r w:rsidRPr="00445771">
        <w:rPr>
          <w:rFonts w:ascii="Arial" w:hAnsi="Arial" w:cs="Arial"/>
          <w:b/>
          <w:sz w:val="22"/>
          <w:szCs w:val="22"/>
        </w:rPr>
        <w:t>COMENTARIOS REC</w:t>
      </w:r>
      <w:r>
        <w:rPr>
          <w:rFonts w:ascii="Arial" w:hAnsi="Arial" w:cs="Arial"/>
          <w:b/>
          <w:sz w:val="22"/>
          <w:szCs w:val="22"/>
        </w:rPr>
        <w:t>I</w:t>
      </w:r>
      <w:r w:rsidRPr="00445771">
        <w:rPr>
          <w:rFonts w:ascii="Arial" w:hAnsi="Arial" w:cs="Arial"/>
          <w:b/>
          <w:sz w:val="22"/>
          <w:szCs w:val="22"/>
        </w:rPr>
        <w:t>BIDOS POR CATEGORÍAS</w:t>
      </w:r>
    </w:p>
    <w:p w14:paraId="3B9E9BD7" w14:textId="77777777" w:rsidR="00445771" w:rsidRDefault="00445771" w:rsidP="00445771">
      <w:pPr>
        <w:suppressAutoHyphens/>
        <w:ind w:left="2835" w:hanging="2835"/>
        <w:jc w:val="both"/>
        <w:rPr>
          <w:rFonts w:ascii="Arial" w:hAnsi="Arial" w:cs="Arial"/>
          <w:sz w:val="22"/>
          <w:szCs w:val="22"/>
        </w:rPr>
      </w:pPr>
    </w:p>
    <w:p w14:paraId="1BB04779" w14:textId="4AD95856" w:rsidR="00445771" w:rsidRPr="00445771" w:rsidRDefault="00445771" w:rsidP="00445771">
      <w:pPr>
        <w:pStyle w:val="Prrafodelista"/>
        <w:numPr>
          <w:ilvl w:val="0"/>
          <w:numId w:val="43"/>
        </w:numPr>
        <w:suppressAutoHyphens/>
        <w:ind w:left="426" w:hanging="426"/>
        <w:jc w:val="both"/>
        <w:rPr>
          <w:rFonts w:ascii="Arial" w:hAnsi="Arial" w:cs="Arial"/>
          <w:b/>
          <w:sz w:val="22"/>
          <w:szCs w:val="22"/>
        </w:rPr>
      </w:pPr>
      <w:r w:rsidRPr="00445771">
        <w:rPr>
          <w:rFonts w:ascii="Arial" w:hAnsi="Arial" w:cs="Arial"/>
          <w:b/>
          <w:sz w:val="22"/>
          <w:szCs w:val="22"/>
        </w:rPr>
        <w:t>Comentarios de forma</w:t>
      </w:r>
    </w:p>
    <w:p w14:paraId="6BFE3507" w14:textId="77777777" w:rsidR="00445771" w:rsidRDefault="00445771" w:rsidP="00445771">
      <w:pPr>
        <w:pStyle w:val="Prrafodelista"/>
        <w:suppressAutoHyphens/>
        <w:jc w:val="both"/>
        <w:rPr>
          <w:rFonts w:ascii="Arial" w:hAnsi="Arial" w:cs="Arial"/>
          <w:sz w:val="22"/>
          <w:szCs w:val="22"/>
        </w:rPr>
      </w:pPr>
    </w:p>
    <w:p w14:paraId="12452BE1" w14:textId="4A99D351" w:rsidR="00445771"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Artículo 2.6.5.4 – “</w:t>
      </w:r>
      <w:r w:rsidRPr="00453BEA">
        <w:rPr>
          <w:rFonts w:ascii="Arial" w:hAnsi="Arial" w:cs="Arial"/>
          <w:sz w:val="22"/>
          <w:szCs w:val="22"/>
        </w:rPr>
        <w:t>La correspondencia referida hace alusión a lo establecido en artículo 2.6.5.2 ámbito de aplicación</w:t>
      </w:r>
      <w:r>
        <w:rPr>
          <w:rFonts w:ascii="Arial" w:hAnsi="Arial" w:cs="Arial"/>
          <w:sz w:val="22"/>
          <w:szCs w:val="22"/>
        </w:rPr>
        <w:t>”</w:t>
      </w:r>
    </w:p>
    <w:p w14:paraId="1A3F7279" w14:textId="77777777" w:rsidR="00445771" w:rsidRDefault="00445771" w:rsidP="00445771">
      <w:pPr>
        <w:suppressAutoHyphens/>
        <w:ind w:left="720"/>
        <w:jc w:val="both"/>
        <w:rPr>
          <w:rFonts w:ascii="Arial" w:hAnsi="Arial" w:cs="Arial"/>
          <w:sz w:val="22"/>
          <w:szCs w:val="22"/>
        </w:rPr>
      </w:pPr>
    </w:p>
    <w:p w14:paraId="1694D6BB" w14:textId="39ED747B" w:rsidR="00445771" w:rsidRDefault="00445771" w:rsidP="00445771">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acogerá el comentario y se realizará la corrección sugerida.</w:t>
      </w:r>
    </w:p>
    <w:p w14:paraId="0A4C9A01" w14:textId="77777777" w:rsidR="00453BEA" w:rsidRDefault="00453BEA" w:rsidP="00445771">
      <w:pPr>
        <w:suppressAutoHyphens/>
        <w:ind w:left="720"/>
        <w:jc w:val="both"/>
        <w:rPr>
          <w:rFonts w:ascii="Arial" w:hAnsi="Arial" w:cs="Arial"/>
          <w:sz w:val="22"/>
          <w:szCs w:val="22"/>
        </w:rPr>
      </w:pPr>
    </w:p>
    <w:p w14:paraId="37BCC818" w14:textId="13A88538" w:rsidR="00453BEA"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Artículo 2.6.5.9. – “</w:t>
      </w:r>
      <w:r w:rsidRPr="00453BEA">
        <w:rPr>
          <w:rFonts w:ascii="Arial" w:hAnsi="Arial" w:cs="Arial"/>
          <w:sz w:val="22"/>
          <w:szCs w:val="22"/>
        </w:rPr>
        <w:t xml:space="preserve">Aclarar a que hace referencia al inciso segundo del artículo 2.6.5.1. Según </w:t>
      </w:r>
      <w:r>
        <w:rPr>
          <w:rFonts w:ascii="Arial" w:hAnsi="Arial" w:cs="Arial"/>
          <w:sz w:val="22"/>
          <w:szCs w:val="22"/>
        </w:rPr>
        <w:t>se lee, únicamente hay un inciso”.</w:t>
      </w:r>
    </w:p>
    <w:p w14:paraId="265F81DF" w14:textId="77777777" w:rsidR="00453BEA" w:rsidRDefault="00453BEA" w:rsidP="00453BEA">
      <w:pPr>
        <w:pStyle w:val="Prrafodelista"/>
        <w:suppressAutoHyphens/>
        <w:ind w:left="1440"/>
        <w:jc w:val="both"/>
        <w:rPr>
          <w:rFonts w:ascii="Arial" w:hAnsi="Arial" w:cs="Arial"/>
          <w:sz w:val="22"/>
          <w:szCs w:val="22"/>
        </w:rPr>
      </w:pPr>
    </w:p>
    <w:p w14:paraId="39060335" w14:textId="5BC4A7E4" w:rsidR="00453BEA" w:rsidRPr="00453BEA" w:rsidRDefault="00453BEA" w:rsidP="00453BEA">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acogerá el comentario y se realizará la corrección sugerida.</w:t>
      </w:r>
    </w:p>
    <w:p w14:paraId="36B5CEC3" w14:textId="77777777" w:rsidR="00453BEA" w:rsidRDefault="00453BEA" w:rsidP="00453BEA">
      <w:pPr>
        <w:pStyle w:val="Prrafodelista"/>
        <w:suppressAutoHyphens/>
        <w:ind w:left="1440"/>
        <w:jc w:val="both"/>
        <w:rPr>
          <w:rFonts w:ascii="Arial" w:hAnsi="Arial" w:cs="Arial"/>
          <w:sz w:val="22"/>
          <w:szCs w:val="22"/>
        </w:rPr>
      </w:pPr>
    </w:p>
    <w:p w14:paraId="2301B5CF" w14:textId="2FBE6986" w:rsidR="00453BEA"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Artículo 2.6.5.3. parágrafo – “</w:t>
      </w:r>
      <w:r w:rsidRPr="00453BEA">
        <w:rPr>
          <w:rFonts w:ascii="Arial" w:hAnsi="Arial" w:cs="Arial"/>
          <w:sz w:val="22"/>
          <w:szCs w:val="22"/>
        </w:rPr>
        <w:t>Se recomienda ajustar la puntuación en el inciso f</w:t>
      </w:r>
      <w:r>
        <w:rPr>
          <w:rFonts w:ascii="Arial" w:hAnsi="Arial" w:cs="Arial"/>
          <w:sz w:val="22"/>
          <w:szCs w:val="22"/>
        </w:rPr>
        <w:t>inal”.</w:t>
      </w:r>
    </w:p>
    <w:p w14:paraId="062BDF57" w14:textId="77777777" w:rsidR="00453BEA" w:rsidRDefault="00453BEA" w:rsidP="00453BEA">
      <w:pPr>
        <w:suppressAutoHyphens/>
        <w:jc w:val="both"/>
        <w:rPr>
          <w:rFonts w:ascii="Arial" w:hAnsi="Arial" w:cs="Arial"/>
          <w:sz w:val="22"/>
          <w:szCs w:val="22"/>
        </w:rPr>
      </w:pPr>
    </w:p>
    <w:p w14:paraId="5E69E29D" w14:textId="77777777" w:rsidR="00453BEA" w:rsidRPr="00453BEA" w:rsidRDefault="00453BEA" w:rsidP="00453BEA">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acogerá el comentario y se realizará la corrección sugerida.</w:t>
      </w:r>
    </w:p>
    <w:p w14:paraId="0D3C404F" w14:textId="77777777" w:rsidR="00453BEA" w:rsidRPr="00453BEA" w:rsidRDefault="00453BEA" w:rsidP="00453BEA">
      <w:pPr>
        <w:suppressAutoHyphens/>
        <w:jc w:val="both"/>
        <w:rPr>
          <w:rFonts w:ascii="Arial" w:hAnsi="Arial" w:cs="Arial"/>
          <w:sz w:val="22"/>
          <w:szCs w:val="22"/>
        </w:rPr>
      </w:pPr>
    </w:p>
    <w:p w14:paraId="36E2FD91" w14:textId="2144B4D1" w:rsidR="00453BEA"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Artículo 2.5.5.1. – “</w:t>
      </w:r>
      <w:r w:rsidRPr="00453BEA">
        <w:rPr>
          <w:rFonts w:ascii="Arial" w:hAnsi="Arial" w:cs="Arial"/>
          <w:sz w:val="22"/>
          <w:szCs w:val="22"/>
        </w:rPr>
        <w:t xml:space="preserve">Revisar, no se observa inciso segundo en el </w:t>
      </w:r>
      <w:r w:rsidR="00EB6DF3" w:rsidRPr="00453BEA">
        <w:rPr>
          <w:rFonts w:ascii="Arial" w:hAnsi="Arial" w:cs="Arial"/>
          <w:sz w:val="22"/>
          <w:szCs w:val="22"/>
        </w:rPr>
        <w:t>artículo</w:t>
      </w:r>
      <w:r w:rsidRPr="00453BEA">
        <w:rPr>
          <w:rFonts w:ascii="Arial" w:hAnsi="Arial" w:cs="Arial"/>
          <w:sz w:val="22"/>
          <w:szCs w:val="22"/>
        </w:rPr>
        <w:t xml:space="preserve"> 2.6.5.1.</w:t>
      </w:r>
      <w:r>
        <w:rPr>
          <w:rFonts w:ascii="Arial" w:hAnsi="Arial" w:cs="Arial"/>
          <w:sz w:val="22"/>
          <w:szCs w:val="22"/>
        </w:rPr>
        <w:t>”.</w:t>
      </w:r>
    </w:p>
    <w:p w14:paraId="63D9863F" w14:textId="77777777" w:rsidR="00EB6DF3" w:rsidRDefault="00EB6DF3" w:rsidP="00EB6DF3">
      <w:pPr>
        <w:suppressAutoHyphens/>
        <w:ind w:left="720"/>
        <w:jc w:val="both"/>
        <w:rPr>
          <w:rFonts w:ascii="Arial" w:hAnsi="Arial" w:cs="Arial"/>
          <w:sz w:val="22"/>
          <w:szCs w:val="22"/>
        </w:rPr>
      </w:pPr>
    </w:p>
    <w:p w14:paraId="6C398E5E" w14:textId="77777777" w:rsidR="00EB6DF3" w:rsidRPr="00453BEA" w:rsidRDefault="00EB6DF3" w:rsidP="00EB6DF3">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acogerá el comentario y se realizará la corrección sugerida.</w:t>
      </w:r>
    </w:p>
    <w:p w14:paraId="0269FEC6" w14:textId="77777777" w:rsidR="00EB6DF3" w:rsidRPr="00EB6DF3" w:rsidRDefault="00EB6DF3" w:rsidP="00EB6DF3">
      <w:pPr>
        <w:suppressAutoHyphens/>
        <w:ind w:left="720"/>
        <w:jc w:val="both"/>
        <w:rPr>
          <w:rFonts w:ascii="Arial" w:hAnsi="Arial" w:cs="Arial"/>
          <w:sz w:val="22"/>
          <w:szCs w:val="22"/>
        </w:rPr>
      </w:pPr>
    </w:p>
    <w:p w14:paraId="34173EEE" w14:textId="5DAF9EE4" w:rsidR="00453BEA" w:rsidRDefault="00EB6DF3" w:rsidP="00EB6DF3">
      <w:pPr>
        <w:pStyle w:val="Prrafodelista"/>
        <w:numPr>
          <w:ilvl w:val="1"/>
          <w:numId w:val="43"/>
        </w:numPr>
        <w:suppressAutoHyphens/>
        <w:jc w:val="both"/>
        <w:rPr>
          <w:rFonts w:ascii="Arial" w:hAnsi="Arial" w:cs="Arial"/>
          <w:sz w:val="22"/>
          <w:szCs w:val="22"/>
        </w:rPr>
      </w:pPr>
      <w:r w:rsidRPr="00EB6DF3">
        <w:rPr>
          <w:rFonts w:ascii="Arial" w:hAnsi="Arial" w:cs="Arial"/>
          <w:sz w:val="22"/>
          <w:szCs w:val="22"/>
        </w:rPr>
        <w:t>Validar el consecutivo de la numeración, teniendo en cuenta que esta se viene dando de la siguiente manera: 2.6.6.5</w:t>
      </w:r>
      <w:r>
        <w:rPr>
          <w:rFonts w:ascii="Arial" w:hAnsi="Arial" w:cs="Arial"/>
          <w:sz w:val="22"/>
          <w:szCs w:val="22"/>
        </w:rPr>
        <w:t>.</w:t>
      </w:r>
    </w:p>
    <w:p w14:paraId="77178E00" w14:textId="77777777" w:rsidR="00EB6DF3" w:rsidRPr="00EB6DF3" w:rsidRDefault="00EB6DF3" w:rsidP="00EB6DF3">
      <w:pPr>
        <w:suppressAutoHyphens/>
        <w:ind w:left="720"/>
        <w:jc w:val="both"/>
        <w:rPr>
          <w:rFonts w:ascii="Arial" w:hAnsi="Arial" w:cs="Arial"/>
          <w:sz w:val="22"/>
          <w:szCs w:val="22"/>
        </w:rPr>
      </w:pPr>
    </w:p>
    <w:p w14:paraId="0A1873C9" w14:textId="707E861F" w:rsidR="00EB6DF3" w:rsidRPr="00453BEA" w:rsidRDefault="00EB6DF3" w:rsidP="00EB6DF3">
      <w:pPr>
        <w:suppressAutoHyphens/>
        <w:ind w:left="720"/>
        <w:jc w:val="both"/>
        <w:rPr>
          <w:rFonts w:ascii="Arial" w:hAnsi="Arial" w:cs="Arial"/>
          <w:sz w:val="22"/>
          <w:szCs w:val="22"/>
        </w:rPr>
      </w:pPr>
      <w:r>
        <w:rPr>
          <w:rFonts w:ascii="Arial" w:hAnsi="Arial" w:cs="Arial"/>
          <w:sz w:val="22"/>
          <w:szCs w:val="22"/>
        </w:rPr>
        <w:t xml:space="preserve">Respuesta: </w:t>
      </w:r>
      <w:r w:rsidRPr="00EB6DF3">
        <w:rPr>
          <w:rFonts w:ascii="Arial" w:hAnsi="Arial" w:cs="Arial"/>
          <w:sz w:val="22"/>
          <w:szCs w:val="22"/>
        </w:rPr>
        <w:t xml:space="preserve">No se realiza el ajuste teniendo en cuenta que las disposiciones del artículo dos al cuatro no son </w:t>
      </w:r>
      <w:proofErr w:type="gramStart"/>
      <w:r w:rsidRPr="00EB6DF3">
        <w:rPr>
          <w:rFonts w:ascii="Arial" w:hAnsi="Arial" w:cs="Arial"/>
          <w:sz w:val="22"/>
          <w:szCs w:val="22"/>
        </w:rPr>
        <w:t>modificatorios</w:t>
      </w:r>
      <w:proofErr w:type="gramEnd"/>
      <w:r w:rsidRPr="00EB6DF3">
        <w:rPr>
          <w:rFonts w:ascii="Arial" w:hAnsi="Arial" w:cs="Arial"/>
          <w:sz w:val="22"/>
          <w:szCs w:val="22"/>
        </w:rPr>
        <w:t xml:space="preserve"> del Decreto 1080 de 2015.</w:t>
      </w:r>
    </w:p>
    <w:p w14:paraId="6CE988E3" w14:textId="77777777" w:rsidR="00445771" w:rsidRPr="00104530" w:rsidRDefault="00445771" w:rsidP="00104530">
      <w:pPr>
        <w:suppressAutoHyphens/>
        <w:jc w:val="both"/>
        <w:rPr>
          <w:rFonts w:ascii="Arial" w:hAnsi="Arial" w:cs="Arial"/>
          <w:sz w:val="22"/>
          <w:szCs w:val="22"/>
        </w:rPr>
      </w:pPr>
    </w:p>
    <w:p w14:paraId="68679E74" w14:textId="4AE8D85B" w:rsidR="00445771" w:rsidRPr="00445771" w:rsidRDefault="00453BEA" w:rsidP="00445771">
      <w:pPr>
        <w:pStyle w:val="Prrafodelista"/>
        <w:numPr>
          <w:ilvl w:val="0"/>
          <w:numId w:val="43"/>
        </w:numPr>
        <w:suppressAutoHyphens/>
        <w:ind w:left="426" w:hanging="426"/>
        <w:jc w:val="both"/>
        <w:rPr>
          <w:rFonts w:ascii="Arial" w:hAnsi="Arial" w:cs="Arial"/>
          <w:b/>
          <w:sz w:val="22"/>
          <w:szCs w:val="22"/>
        </w:rPr>
      </w:pPr>
      <w:r>
        <w:rPr>
          <w:rFonts w:ascii="Arial" w:hAnsi="Arial" w:cs="Arial"/>
          <w:b/>
          <w:sz w:val="22"/>
          <w:szCs w:val="22"/>
        </w:rPr>
        <w:t>Comentarios sobre el objeto del Decreto</w:t>
      </w:r>
    </w:p>
    <w:p w14:paraId="043EBA14" w14:textId="77777777" w:rsidR="00445771" w:rsidRDefault="00445771" w:rsidP="00445771">
      <w:pPr>
        <w:suppressAutoHyphens/>
        <w:jc w:val="both"/>
        <w:rPr>
          <w:rFonts w:ascii="Arial" w:hAnsi="Arial" w:cs="Arial"/>
          <w:sz w:val="22"/>
          <w:szCs w:val="22"/>
        </w:rPr>
      </w:pPr>
    </w:p>
    <w:p w14:paraId="18A9D12D" w14:textId="1E364952" w:rsidR="00104530" w:rsidRDefault="00104530" w:rsidP="00104530">
      <w:pPr>
        <w:pStyle w:val="Prrafodelista"/>
        <w:numPr>
          <w:ilvl w:val="1"/>
          <w:numId w:val="43"/>
        </w:numPr>
        <w:suppressAutoHyphens/>
        <w:jc w:val="both"/>
        <w:rPr>
          <w:rFonts w:ascii="Arial" w:hAnsi="Arial" w:cs="Arial"/>
          <w:sz w:val="22"/>
          <w:szCs w:val="22"/>
        </w:rPr>
      </w:pPr>
      <w:r w:rsidRPr="00104530">
        <w:rPr>
          <w:rFonts w:ascii="Arial" w:hAnsi="Arial" w:cs="Arial"/>
          <w:sz w:val="22"/>
          <w:szCs w:val="22"/>
        </w:rPr>
        <w:t xml:space="preserve">Se recomienda que antes de proceder a modificar la normativa sobre patrimonio arqueológico se </w:t>
      </w:r>
      <w:proofErr w:type="spellStart"/>
      <w:r w:rsidRPr="00104530">
        <w:rPr>
          <w:rFonts w:ascii="Arial" w:hAnsi="Arial" w:cs="Arial"/>
          <w:sz w:val="22"/>
          <w:szCs w:val="22"/>
        </w:rPr>
        <w:t>definina</w:t>
      </w:r>
      <w:proofErr w:type="spellEnd"/>
      <w:r w:rsidRPr="00104530">
        <w:rPr>
          <w:rFonts w:ascii="Arial" w:hAnsi="Arial" w:cs="Arial"/>
          <w:sz w:val="22"/>
          <w:szCs w:val="22"/>
        </w:rPr>
        <w:t xml:space="preserve"> y se haga explícito cuáles son los objetivos de claridad que se quieren lograr (</w:t>
      </w:r>
      <w:proofErr w:type="spellStart"/>
      <w:r w:rsidRPr="00104530">
        <w:rPr>
          <w:rFonts w:ascii="Arial" w:hAnsi="Arial" w:cs="Arial"/>
          <w:sz w:val="22"/>
          <w:szCs w:val="22"/>
        </w:rPr>
        <w:t>e.d</w:t>
      </w:r>
      <w:proofErr w:type="spellEnd"/>
      <w:r w:rsidRPr="00104530">
        <w:rPr>
          <w:rFonts w:ascii="Arial" w:hAnsi="Arial" w:cs="Arial"/>
          <w:sz w:val="22"/>
          <w:szCs w:val="22"/>
        </w:rPr>
        <w:t>., qué apartes se considera que no son claros en la normativa vigente).</w:t>
      </w:r>
    </w:p>
    <w:p w14:paraId="23A7954A" w14:textId="77777777" w:rsidR="00104530" w:rsidRDefault="00104530" w:rsidP="00104530">
      <w:pPr>
        <w:suppressAutoHyphens/>
        <w:ind w:left="720"/>
        <w:jc w:val="both"/>
        <w:rPr>
          <w:rFonts w:ascii="Arial" w:hAnsi="Arial" w:cs="Arial"/>
          <w:sz w:val="22"/>
          <w:szCs w:val="22"/>
        </w:rPr>
      </w:pPr>
    </w:p>
    <w:p w14:paraId="2AF15464" w14:textId="77777777" w:rsidR="00104530" w:rsidRPr="00104530" w:rsidRDefault="00104530" w:rsidP="00104530">
      <w:pPr>
        <w:suppressAutoHyphens/>
        <w:ind w:left="720"/>
        <w:jc w:val="both"/>
        <w:rPr>
          <w:rFonts w:ascii="Arial" w:hAnsi="Arial" w:cs="Arial"/>
          <w:sz w:val="22"/>
          <w:szCs w:val="22"/>
        </w:rPr>
      </w:pPr>
      <w:r>
        <w:rPr>
          <w:rFonts w:ascii="Arial" w:hAnsi="Arial" w:cs="Arial"/>
          <w:sz w:val="22"/>
          <w:szCs w:val="22"/>
        </w:rPr>
        <w:lastRenderedPageBreak/>
        <w:t xml:space="preserve">Respuesta: </w:t>
      </w:r>
      <w:r w:rsidRPr="00104530">
        <w:rPr>
          <w:rFonts w:ascii="Arial" w:hAnsi="Arial" w:cs="Arial"/>
          <w:sz w:val="22"/>
          <w:szCs w:val="22"/>
        </w:rPr>
        <w:t xml:space="preserve">A continuación enumeramos algunas de la problemáticas identificadas: </w:t>
      </w:r>
    </w:p>
    <w:p w14:paraId="073F5214" w14:textId="77777777" w:rsidR="00104530" w:rsidRPr="00104530" w:rsidRDefault="00104530" w:rsidP="00104530">
      <w:pPr>
        <w:suppressAutoHyphens/>
        <w:ind w:left="720"/>
        <w:jc w:val="both"/>
        <w:rPr>
          <w:rFonts w:ascii="Arial" w:hAnsi="Arial" w:cs="Arial"/>
          <w:sz w:val="22"/>
          <w:szCs w:val="22"/>
        </w:rPr>
      </w:pPr>
      <w:r w:rsidRPr="00104530">
        <w:rPr>
          <w:rFonts w:ascii="Arial" w:hAnsi="Arial" w:cs="Arial"/>
          <w:sz w:val="22"/>
          <w:szCs w:val="22"/>
        </w:rPr>
        <w:t xml:space="preserve">- No se diferencia el trámite que hace una empresa en el marco de proyectos de infraestructura, de una intervención arqueológica para efectos puramente de investigación. </w:t>
      </w:r>
    </w:p>
    <w:p w14:paraId="233C8343" w14:textId="77777777" w:rsidR="00104530" w:rsidRPr="00104530" w:rsidRDefault="00104530" w:rsidP="00104530">
      <w:pPr>
        <w:suppressAutoHyphens/>
        <w:ind w:left="720"/>
        <w:jc w:val="both"/>
        <w:rPr>
          <w:rFonts w:ascii="Arial" w:hAnsi="Arial" w:cs="Arial"/>
          <w:sz w:val="22"/>
          <w:szCs w:val="22"/>
        </w:rPr>
      </w:pPr>
      <w:r w:rsidRPr="00104530">
        <w:rPr>
          <w:rFonts w:ascii="Arial" w:hAnsi="Arial" w:cs="Arial"/>
          <w:sz w:val="22"/>
          <w:szCs w:val="22"/>
        </w:rPr>
        <w:t xml:space="preserve">- Necesidad de </w:t>
      </w:r>
      <w:proofErr w:type="spellStart"/>
      <w:r w:rsidRPr="00104530">
        <w:rPr>
          <w:rFonts w:ascii="Arial" w:hAnsi="Arial" w:cs="Arial"/>
          <w:sz w:val="22"/>
          <w:szCs w:val="22"/>
        </w:rPr>
        <w:t>estadarizar</w:t>
      </w:r>
      <w:proofErr w:type="spellEnd"/>
      <w:r w:rsidRPr="00104530">
        <w:rPr>
          <w:rFonts w:ascii="Arial" w:hAnsi="Arial" w:cs="Arial"/>
          <w:sz w:val="22"/>
          <w:szCs w:val="22"/>
        </w:rPr>
        <w:t xml:space="preserve"> el trámite para la evaluación de las solicitudes.</w:t>
      </w:r>
    </w:p>
    <w:p w14:paraId="63846B71" w14:textId="77777777" w:rsidR="00104530" w:rsidRPr="00104530" w:rsidRDefault="00104530" w:rsidP="00104530">
      <w:pPr>
        <w:suppressAutoHyphens/>
        <w:ind w:left="720"/>
        <w:jc w:val="both"/>
        <w:rPr>
          <w:rFonts w:ascii="Arial" w:hAnsi="Arial" w:cs="Arial"/>
          <w:sz w:val="22"/>
          <w:szCs w:val="22"/>
        </w:rPr>
      </w:pPr>
      <w:r w:rsidRPr="00104530">
        <w:rPr>
          <w:rFonts w:ascii="Arial" w:hAnsi="Arial" w:cs="Arial"/>
          <w:sz w:val="22"/>
          <w:szCs w:val="22"/>
        </w:rPr>
        <w:t xml:space="preserve">- Las etapas del trámite del Programa de Arqueología Preventiva son fruto de la práctica del ICANH, pero no cuentan con un instrumento jurídico que respalde la descripción del trámite. Tampoco hay reglas clara para proceder en casos de  hallazgos fortuitos. </w:t>
      </w:r>
    </w:p>
    <w:p w14:paraId="6A1AC08A" w14:textId="77777777" w:rsidR="00104530" w:rsidRPr="00104530" w:rsidRDefault="00104530" w:rsidP="00104530">
      <w:pPr>
        <w:suppressAutoHyphens/>
        <w:ind w:left="720"/>
        <w:jc w:val="both"/>
        <w:rPr>
          <w:rFonts w:ascii="Arial" w:hAnsi="Arial" w:cs="Arial"/>
          <w:sz w:val="22"/>
          <w:szCs w:val="22"/>
        </w:rPr>
      </w:pPr>
      <w:r w:rsidRPr="00104530">
        <w:rPr>
          <w:rFonts w:ascii="Arial" w:hAnsi="Arial" w:cs="Arial"/>
          <w:sz w:val="22"/>
          <w:szCs w:val="22"/>
        </w:rPr>
        <w:t xml:space="preserve">- Interacción con el ICANH únicamente a través de medio físico. </w:t>
      </w:r>
    </w:p>
    <w:p w14:paraId="1F595CF4" w14:textId="77777777" w:rsidR="00104530" w:rsidRPr="00104530" w:rsidRDefault="00104530" w:rsidP="00104530">
      <w:pPr>
        <w:suppressAutoHyphens/>
        <w:ind w:left="720"/>
        <w:jc w:val="both"/>
        <w:rPr>
          <w:rFonts w:ascii="Arial" w:hAnsi="Arial" w:cs="Arial"/>
          <w:sz w:val="22"/>
          <w:szCs w:val="22"/>
        </w:rPr>
      </w:pPr>
      <w:r w:rsidRPr="00104530">
        <w:rPr>
          <w:rFonts w:ascii="Arial" w:hAnsi="Arial" w:cs="Arial"/>
          <w:sz w:val="22"/>
          <w:szCs w:val="22"/>
        </w:rPr>
        <w:t>- Se duplican los esfuerzos del ICANH al tener que autorizar la implementación de aquello que ya autorizó.</w:t>
      </w:r>
    </w:p>
    <w:p w14:paraId="5846C061" w14:textId="424FC8EB" w:rsidR="00104530" w:rsidRDefault="00104530" w:rsidP="00104530">
      <w:pPr>
        <w:suppressAutoHyphens/>
        <w:ind w:left="720"/>
        <w:jc w:val="both"/>
        <w:rPr>
          <w:rFonts w:ascii="Arial" w:hAnsi="Arial" w:cs="Arial"/>
          <w:sz w:val="22"/>
          <w:szCs w:val="22"/>
        </w:rPr>
      </w:pPr>
      <w:r w:rsidRPr="00104530">
        <w:rPr>
          <w:rFonts w:ascii="Arial" w:hAnsi="Arial" w:cs="Arial"/>
          <w:sz w:val="22"/>
          <w:szCs w:val="22"/>
        </w:rPr>
        <w:t>- Demoras en la atención del trámite producto de estas problemáticas.</w:t>
      </w:r>
    </w:p>
    <w:p w14:paraId="2D4F2D45" w14:textId="77777777" w:rsidR="00104530" w:rsidRPr="00104530" w:rsidRDefault="00104530" w:rsidP="00104530">
      <w:pPr>
        <w:suppressAutoHyphens/>
        <w:ind w:left="720"/>
        <w:jc w:val="both"/>
        <w:rPr>
          <w:rFonts w:ascii="Arial" w:hAnsi="Arial" w:cs="Arial"/>
          <w:sz w:val="22"/>
          <w:szCs w:val="22"/>
        </w:rPr>
      </w:pPr>
    </w:p>
    <w:p w14:paraId="149B6133" w14:textId="76C9185C" w:rsidR="00445771"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w:t>
      </w:r>
      <w:r w:rsidRPr="00EB6DF3">
        <w:rPr>
          <w:rFonts w:ascii="Arial" w:hAnsi="Arial" w:cs="Arial"/>
          <w:i/>
          <w:sz w:val="22"/>
          <w:szCs w:val="22"/>
        </w:rPr>
        <w:t xml:space="preserve">Se recomienda mantener la </w:t>
      </w:r>
      <w:proofErr w:type="spellStart"/>
      <w:r w:rsidRPr="00EB6DF3">
        <w:rPr>
          <w:rFonts w:ascii="Arial" w:hAnsi="Arial" w:cs="Arial"/>
          <w:i/>
          <w:sz w:val="22"/>
          <w:szCs w:val="22"/>
        </w:rPr>
        <w:t>la</w:t>
      </w:r>
      <w:proofErr w:type="spellEnd"/>
      <w:r w:rsidRPr="00EB6DF3">
        <w:rPr>
          <w:rFonts w:ascii="Arial" w:hAnsi="Arial" w:cs="Arial"/>
          <w:i/>
          <w:sz w:val="22"/>
          <w:szCs w:val="22"/>
        </w:rPr>
        <w:t xml:space="preserve"> obligatoriedad de implementar el Programa de Arqueología Preventiva en los proyectos que ocupando áreas mayores a una hectárea, requieren licencia de urbanización, parcelación o construcción</w:t>
      </w:r>
      <w:r w:rsidR="00445771" w:rsidRPr="00445771">
        <w:rPr>
          <w:rFonts w:ascii="Arial" w:hAnsi="Arial" w:cs="Arial"/>
          <w:sz w:val="22"/>
          <w:szCs w:val="22"/>
        </w:rPr>
        <w:t>".</w:t>
      </w:r>
    </w:p>
    <w:p w14:paraId="1001101B" w14:textId="77777777" w:rsidR="00445771" w:rsidRDefault="00445771" w:rsidP="00445771">
      <w:pPr>
        <w:suppressAutoHyphens/>
        <w:ind w:left="720"/>
        <w:jc w:val="both"/>
        <w:rPr>
          <w:rFonts w:ascii="Arial" w:hAnsi="Arial" w:cs="Arial"/>
          <w:sz w:val="22"/>
          <w:szCs w:val="22"/>
        </w:rPr>
      </w:pPr>
    </w:p>
    <w:p w14:paraId="5C652429" w14:textId="77777777" w:rsidR="00453BEA" w:rsidRPr="00453BEA" w:rsidRDefault="00445771" w:rsidP="00453BEA">
      <w:pPr>
        <w:suppressAutoHyphens/>
        <w:ind w:left="720"/>
        <w:jc w:val="both"/>
        <w:rPr>
          <w:rFonts w:ascii="Arial" w:hAnsi="Arial" w:cs="Arial"/>
          <w:sz w:val="22"/>
          <w:szCs w:val="22"/>
        </w:rPr>
      </w:pPr>
      <w:r>
        <w:rPr>
          <w:rFonts w:ascii="Arial" w:hAnsi="Arial" w:cs="Arial"/>
          <w:sz w:val="22"/>
          <w:szCs w:val="22"/>
        </w:rPr>
        <w:t xml:space="preserve">Respuesta: </w:t>
      </w:r>
      <w:r w:rsidR="00453BEA" w:rsidRPr="00453BEA">
        <w:rPr>
          <w:rFonts w:ascii="Arial" w:hAnsi="Arial" w:cs="Arial"/>
          <w:sz w:val="22"/>
          <w:szCs w:val="22"/>
        </w:rPr>
        <w:t>En el marco de la campaña "Estado simple, Colombia ágil" se considera fundamental dar estricto cumplimiento al artículo 1 de la Ley 962 de 2005: "(… 1. Reserva legal de permisos, licencias o requisitos. Para el ejercicio de actividades, derechos o cumplimiento de obligaciones, únicamente podrán exigirse las autorizaciones, requisitos o permisos que estén previstos taxativamente en la ley o se encuentren autorizados expresamente por esta. En tales casos las autoridades públicas no podrán exigir certificaciones, conceptos o constancias.</w:t>
      </w:r>
    </w:p>
    <w:p w14:paraId="2F292218" w14:textId="77777777" w:rsidR="00453BEA" w:rsidRPr="00453BEA" w:rsidRDefault="00453BEA" w:rsidP="00453BEA">
      <w:pPr>
        <w:suppressAutoHyphens/>
        <w:ind w:left="720"/>
        <w:jc w:val="both"/>
        <w:rPr>
          <w:rFonts w:ascii="Arial" w:hAnsi="Arial" w:cs="Arial"/>
          <w:sz w:val="22"/>
          <w:szCs w:val="22"/>
        </w:rPr>
      </w:pPr>
    </w:p>
    <w:p w14:paraId="580DCD75" w14:textId="77777777" w:rsidR="00453BEA" w:rsidRPr="00453BEA" w:rsidRDefault="00453BEA" w:rsidP="00453BEA">
      <w:pPr>
        <w:suppressAutoHyphens/>
        <w:ind w:left="720"/>
        <w:jc w:val="both"/>
        <w:rPr>
          <w:rFonts w:ascii="Arial" w:hAnsi="Arial" w:cs="Arial"/>
          <w:sz w:val="22"/>
          <w:szCs w:val="22"/>
        </w:rPr>
      </w:pPr>
      <w:r w:rsidRPr="00453BEA">
        <w:rPr>
          <w:rFonts w:ascii="Arial" w:hAnsi="Arial" w:cs="Arial"/>
          <w:sz w:val="22"/>
          <w:szCs w:val="22"/>
        </w:rPr>
        <w:t>Las autoridades públicas no podrán establecer trámites, requisitos o permisos para el ejercicio de actividades, derechos o cumplimiento de obligaciones, salvo que se encuentren expresamente autorizados por la ley; ni tampoco podrán solicitar la presentación de documentos de competencia de otras autoridades".</w:t>
      </w:r>
    </w:p>
    <w:p w14:paraId="248FDA12" w14:textId="77777777" w:rsidR="00453BEA" w:rsidRPr="00453BEA" w:rsidRDefault="00453BEA" w:rsidP="00453BEA">
      <w:pPr>
        <w:suppressAutoHyphens/>
        <w:ind w:left="720"/>
        <w:jc w:val="both"/>
        <w:rPr>
          <w:rFonts w:ascii="Arial" w:hAnsi="Arial" w:cs="Arial"/>
          <w:sz w:val="22"/>
          <w:szCs w:val="22"/>
        </w:rPr>
      </w:pPr>
    </w:p>
    <w:p w14:paraId="4D179F3E" w14:textId="4BB2B4D3" w:rsidR="00445771" w:rsidRDefault="00453BEA" w:rsidP="00453BEA">
      <w:pPr>
        <w:suppressAutoHyphens/>
        <w:ind w:left="720"/>
        <w:jc w:val="both"/>
        <w:rPr>
          <w:rFonts w:ascii="Arial" w:hAnsi="Arial" w:cs="Arial"/>
          <w:sz w:val="22"/>
          <w:szCs w:val="22"/>
        </w:rPr>
      </w:pPr>
      <w:r w:rsidRPr="00453BEA">
        <w:rPr>
          <w:rFonts w:ascii="Arial" w:hAnsi="Arial" w:cs="Arial"/>
          <w:sz w:val="22"/>
          <w:szCs w:val="22"/>
        </w:rPr>
        <w:t>No quiere decir que estos proyectos, en caso de hallazgos fortuitos no deban proceder con la protección adecuada de los mismos ver art. 2.6.1.8.</w:t>
      </w:r>
    </w:p>
    <w:p w14:paraId="13876AC4" w14:textId="77777777" w:rsidR="00445771" w:rsidRPr="00445771" w:rsidRDefault="00445771" w:rsidP="00445771">
      <w:pPr>
        <w:suppressAutoHyphens/>
        <w:ind w:left="720"/>
        <w:jc w:val="both"/>
        <w:rPr>
          <w:rFonts w:ascii="Arial" w:hAnsi="Arial" w:cs="Arial"/>
          <w:sz w:val="22"/>
          <w:szCs w:val="22"/>
        </w:rPr>
      </w:pPr>
    </w:p>
    <w:p w14:paraId="291B52A8" w14:textId="44F491DB" w:rsidR="00445771" w:rsidRPr="00EB6DF3" w:rsidRDefault="00445771" w:rsidP="00453BEA">
      <w:pPr>
        <w:pStyle w:val="Prrafodelista"/>
        <w:numPr>
          <w:ilvl w:val="1"/>
          <w:numId w:val="43"/>
        </w:numPr>
        <w:suppressAutoHyphens/>
        <w:jc w:val="both"/>
        <w:rPr>
          <w:rFonts w:ascii="Arial" w:hAnsi="Arial" w:cs="Arial"/>
          <w:i/>
          <w:sz w:val="22"/>
          <w:szCs w:val="22"/>
        </w:rPr>
      </w:pPr>
      <w:r w:rsidRPr="00EB6DF3">
        <w:rPr>
          <w:rFonts w:ascii="Arial" w:hAnsi="Arial" w:cs="Arial"/>
          <w:i/>
          <w:sz w:val="22"/>
          <w:szCs w:val="22"/>
        </w:rPr>
        <w:t xml:space="preserve">Se </w:t>
      </w:r>
      <w:r w:rsidR="00453BEA" w:rsidRPr="00EB6DF3">
        <w:rPr>
          <w:rFonts w:ascii="Arial" w:hAnsi="Arial" w:cs="Arial"/>
          <w:i/>
          <w:sz w:val="22"/>
          <w:szCs w:val="22"/>
        </w:rPr>
        <w:t xml:space="preserve">necesita incluir la autorización  para parcelación  y construcción, debido que sitios arqueológicos como la necrópolis de </w:t>
      </w:r>
      <w:r w:rsidR="00EB6DF3" w:rsidRPr="00EB6DF3">
        <w:rPr>
          <w:rFonts w:ascii="Arial" w:hAnsi="Arial" w:cs="Arial"/>
          <w:i/>
          <w:sz w:val="22"/>
          <w:szCs w:val="22"/>
        </w:rPr>
        <w:t>Usme</w:t>
      </w:r>
      <w:r w:rsidR="00453BEA" w:rsidRPr="00EB6DF3">
        <w:rPr>
          <w:rFonts w:ascii="Arial" w:hAnsi="Arial" w:cs="Arial"/>
          <w:i/>
          <w:sz w:val="22"/>
          <w:szCs w:val="22"/>
        </w:rPr>
        <w:t xml:space="preserve"> o </w:t>
      </w:r>
      <w:proofErr w:type="spellStart"/>
      <w:r w:rsidR="00453BEA" w:rsidRPr="00EB6DF3">
        <w:rPr>
          <w:rFonts w:ascii="Arial" w:hAnsi="Arial" w:cs="Arial"/>
          <w:i/>
          <w:sz w:val="22"/>
          <w:szCs w:val="22"/>
        </w:rPr>
        <w:t>Tibanica</w:t>
      </w:r>
      <w:proofErr w:type="spellEnd"/>
      <w:r w:rsidR="00453BEA" w:rsidRPr="00EB6DF3">
        <w:rPr>
          <w:rFonts w:ascii="Arial" w:hAnsi="Arial" w:cs="Arial"/>
          <w:i/>
          <w:sz w:val="22"/>
          <w:szCs w:val="22"/>
        </w:rPr>
        <w:t xml:space="preserve"> fueron  encontrados en proyectos de construcción de vivienda.</w:t>
      </w:r>
    </w:p>
    <w:p w14:paraId="773C5416" w14:textId="77777777" w:rsidR="00445771" w:rsidRDefault="00445771" w:rsidP="00445771">
      <w:pPr>
        <w:suppressAutoHyphens/>
        <w:ind w:left="720"/>
        <w:jc w:val="both"/>
        <w:rPr>
          <w:rFonts w:ascii="Arial" w:hAnsi="Arial" w:cs="Arial"/>
          <w:sz w:val="22"/>
          <w:szCs w:val="22"/>
        </w:rPr>
      </w:pPr>
    </w:p>
    <w:p w14:paraId="70AF9049" w14:textId="77777777" w:rsidR="00453BEA" w:rsidRPr="00453BEA" w:rsidRDefault="00453BEA" w:rsidP="00453BEA">
      <w:pPr>
        <w:suppressAutoHyphens/>
        <w:ind w:left="720"/>
        <w:jc w:val="both"/>
        <w:rPr>
          <w:rFonts w:ascii="Arial" w:hAnsi="Arial" w:cs="Arial"/>
          <w:sz w:val="22"/>
          <w:szCs w:val="22"/>
        </w:rPr>
      </w:pPr>
      <w:r>
        <w:rPr>
          <w:rFonts w:ascii="Arial" w:hAnsi="Arial" w:cs="Arial"/>
          <w:sz w:val="22"/>
          <w:szCs w:val="22"/>
        </w:rPr>
        <w:t xml:space="preserve">Respuesta: </w:t>
      </w:r>
      <w:r w:rsidRPr="00453BEA">
        <w:rPr>
          <w:rFonts w:ascii="Arial" w:hAnsi="Arial" w:cs="Arial"/>
          <w:sz w:val="22"/>
          <w:szCs w:val="22"/>
        </w:rPr>
        <w:t xml:space="preserve">En el marco de la campaña "Estado simple, Colombia ágil" se considera fundamental dar estricto cumplimiento al artículo 1 de la Ley 962 de 2005: "(… 1. Reserva legal de permisos, licencias o requisitos. Para el ejercicio de actividades, derechos o cumplimiento de obligaciones, únicamente podrán exigirse las autorizaciones, requisitos o permisos que estén previstos taxativamente en la </w:t>
      </w:r>
      <w:r w:rsidRPr="00453BEA">
        <w:rPr>
          <w:rFonts w:ascii="Arial" w:hAnsi="Arial" w:cs="Arial"/>
          <w:sz w:val="22"/>
          <w:szCs w:val="22"/>
        </w:rPr>
        <w:lastRenderedPageBreak/>
        <w:t>ley o se encuentren autorizados expresamente por esta. En tales casos las autoridades públicas no podrán exigir certificaciones, conceptos o constancias.</w:t>
      </w:r>
    </w:p>
    <w:p w14:paraId="1A3F4538" w14:textId="77777777" w:rsidR="00453BEA" w:rsidRPr="00453BEA" w:rsidRDefault="00453BEA" w:rsidP="00453BEA">
      <w:pPr>
        <w:suppressAutoHyphens/>
        <w:ind w:left="720"/>
        <w:jc w:val="both"/>
        <w:rPr>
          <w:rFonts w:ascii="Arial" w:hAnsi="Arial" w:cs="Arial"/>
          <w:sz w:val="22"/>
          <w:szCs w:val="22"/>
        </w:rPr>
      </w:pPr>
    </w:p>
    <w:p w14:paraId="084F4333" w14:textId="77777777" w:rsidR="00453BEA" w:rsidRPr="00453BEA" w:rsidRDefault="00453BEA" w:rsidP="00453BEA">
      <w:pPr>
        <w:suppressAutoHyphens/>
        <w:ind w:left="720"/>
        <w:jc w:val="both"/>
        <w:rPr>
          <w:rFonts w:ascii="Arial" w:hAnsi="Arial" w:cs="Arial"/>
          <w:sz w:val="22"/>
          <w:szCs w:val="22"/>
        </w:rPr>
      </w:pPr>
      <w:r w:rsidRPr="00453BEA">
        <w:rPr>
          <w:rFonts w:ascii="Arial" w:hAnsi="Arial" w:cs="Arial"/>
          <w:sz w:val="22"/>
          <w:szCs w:val="22"/>
        </w:rPr>
        <w:t>Las autoridades públicas no podrán establecer trámites, requisitos o permisos para el ejercicio de actividades, derechos o cumplimiento de obligaciones, salvo que se encuentren expresamente autorizados por la ley; ni tampoco podrán solicitar la presentación de documentos de competencia de otras autoridades".</w:t>
      </w:r>
    </w:p>
    <w:p w14:paraId="63D1A470" w14:textId="77777777" w:rsidR="00453BEA" w:rsidRPr="00453BEA" w:rsidRDefault="00453BEA" w:rsidP="00453BEA">
      <w:pPr>
        <w:suppressAutoHyphens/>
        <w:ind w:left="720"/>
        <w:jc w:val="both"/>
        <w:rPr>
          <w:rFonts w:ascii="Arial" w:hAnsi="Arial" w:cs="Arial"/>
          <w:sz w:val="22"/>
          <w:szCs w:val="22"/>
        </w:rPr>
      </w:pPr>
    </w:p>
    <w:p w14:paraId="7C9E3D44" w14:textId="77777777" w:rsidR="00453BEA" w:rsidRDefault="00453BEA" w:rsidP="00453BEA">
      <w:pPr>
        <w:suppressAutoHyphens/>
        <w:ind w:left="720"/>
        <w:jc w:val="both"/>
        <w:rPr>
          <w:rFonts w:ascii="Arial" w:hAnsi="Arial" w:cs="Arial"/>
          <w:sz w:val="22"/>
          <w:szCs w:val="22"/>
        </w:rPr>
      </w:pPr>
      <w:r w:rsidRPr="00453BEA">
        <w:rPr>
          <w:rFonts w:ascii="Arial" w:hAnsi="Arial" w:cs="Arial"/>
          <w:sz w:val="22"/>
          <w:szCs w:val="22"/>
        </w:rPr>
        <w:t>No quiere decir que estos proyectos, en caso de hallazgos fortuitos no deban proceder con la protección adecuada de los mismos ver art. 2.6.1.8.</w:t>
      </w:r>
    </w:p>
    <w:p w14:paraId="3245A8D7" w14:textId="77777777" w:rsidR="00445771" w:rsidRPr="00445771" w:rsidRDefault="00445771" w:rsidP="00445771">
      <w:pPr>
        <w:suppressAutoHyphens/>
        <w:ind w:left="720"/>
        <w:jc w:val="both"/>
        <w:rPr>
          <w:rFonts w:ascii="Arial" w:hAnsi="Arial" w:cs="Arial"/>
          <w:sz w:val="22"/>
          <w:szCs w:val="22"/>
        </w:rPr>
      </w:pPr>
    </w:p>
    <w:p w14:paraId="43070505" w14:textId="46267E62" w:rsidR="00445771" w:rsidRDefault="00EB6DF3" w:rsidP="00EB6DF3">
      <w:pPr>
        <w:pStyle w:val="Prrafodelista"/>
        <w:numPr>
          <w:ilvl w:val="1"/>
          <w:numId w:val="43"/>
        </w:numPr>
        <w:suppressAutoHyphens/>
        <w:jc w:val="both"/>
        <w:rPr>
          <w:rFonts w:ascii="Arial" w:hAnsi="Arial" w:cs="Arial"/>
          <w:sz w:val="22"/>
          <w:szCs w:val="22"/>
        </w:rPr>
      </w:pPr>
      <w:r>
        <w:rPr>
          <w:rFonts w:ascii="Arial" w:hAnsi="Arial" w:cs="Arial"/>
          <w:sz w:val="22"/>
          <w:szCs w:val="22"/>
        </w:rPr>
        <w:t>Artículo 2.6.5.2. – “</w:t>
      </w:r>
      <w:r w:rsidRPr="00EB6DF3">
        <w:rPr>
          <w:rFonts w:ascii="Arial" w:hAnsi="Arial" w:cs="Arial"/>
          <w:i/>
          <w:sz w:val="22"/>
          <w:szCs w:val="22"/>
        </w:rPr>
        <w:t>Aún no es claro cuáles son los registros o autorizaciones equivalentes a la Licencia Ambiental. Es necesario dar claridad con el fin de evitar interpretaciones posteriores</w:t>
      </w:r>
      <w:r>
        <w:rPr>
          <w:rFonts w:ascii="Arial" w:hAnsi="Arial" w:cs="Arial"/>
          <w:sz w:val="22"/>
          <w:szCs w:val="22"/>
        </w:rPr>
        <w:t>”-</w:t>
      </w:r>
    </w:p>
    <w:p w14:paraId="6054D624" w14:textId="31D26669" w:rsidR="00445771" w:rsidRDefault="00EB6DF3" w:rsidP="00EB6DF3">
      <w:pPr>
        <w:tabs>
          <w:tab w:val="left" w:pos="2205"/>
        </w:tabs>
        <w:suppressAutoHyphens/>
        <w:ind w:left="720"/>
        <w:jc w:val="both"/>
        <w:rPr>
          <w:rFonts w:ascii="Arial" w:hAnsi="Arial" w:cs="Arial"/>
          <w:sz w:val="22"/>
          <w:szCs w:val="22"/>
        </w:rPr>
      </w:pPr>
      <w:r>
        <w:rPr>
          <w:rFonts w:ascii="Arial" w:hAnsi="Arial" w:cs="Arial"/>
          <w:sz w:val="22"/>
          <w:szCs w:val="22"/>
        </w:rPr>
        <w:tab/>
      </w:r>
    </w:p>
    <w:p w14:paraId="06C377C4" w14:textId="2669D8BC" w:rsidR="00445771" w:rsidRDefault="00445771" w:rsidP="00453BEA">
      <w:pPr>
        <w:suppressAutoHyphens/>
        <w:ind w:left="720"/>
        <w:jc w:val="both"/>
        <w:rPr>
          <w:rFonts w:ascii="Arial" w:hAnsi="Arial" w:cs="Arial"/>
          <w:sz w:val="22"/>
          <w:szCs w:val="22"/>
        </w:rPr>
      </w:pPr>
      <w:r>
        <w:rPr>
          <w:rFonts w:ascii="Arial" w:hAnsi="Arial" w:cs="Arial"/>
          <w:sz w:val="22"/>
          <w:szCs w:val="22"/>
        </w:rPr>
        <w:t xml:space="preserve">Respuesta: </w:t>
      </w:r>
      <w:r w:rsidR="00EB6DF3" w:rsidRPr="00EB6DF3">
        <w:rPr>
          <w:rFonts w:ascii="Arial" w:hAnsi="Arial" w:cs="Arial"/>
          <w:sz w:val="22"/>
          <w:szCs w:val="22"/>
        </w:rPr>
        <w:t>Esa redacción es una copia literal de lo estipulado en la Ley 1185 de 2008.</w:t>
      </w:r>
    </w:p>
    <w:p w14:paraId="47EC3E27" w14:textId="77777777" w:rsidR="00EB6DF3" w:rsidRDefault="00EB6DF3" w:rsidP="00453BEA">
      <w:pPr>
        <w:suppressAutoHyphens/>
        <w:ind w:left="720"/>
        <w:jc w:val="both"/>
        <w:rPr>
          <w:rFonts w:ascii="Arial" w:hAnsi="Arial" w:cs="Arial"/>
          <w:sz w:val="22"/>
          <w:szCs w:val="22"/>
        </w:rPr>
      </w:pPr>
    </w:p>
    <w:p w14:paraId="4D193B01" w14:textId="11E23A89" w:rsidR="00EB6DF3" w:rsidRDefault="00EB6DF3" w:rsidP="00EB6DF3">
      <w:pPr>
        <w:pStyle w:val="Prrafodelista"/>
        <w:numPr>
          <w:ilvl w:val="1"/>
          <w:numId w:val="43"/>
        </w:numPr>
        <w:suppressAutoHyphens/>
        <w:jc w:val="both"/>
        <w:rPr>
          <w:rFonts w:ascii="Arial" w:hAnsi="Arial" w:cs="Arial"/>
          <w:sz w:val="22"/>
          <w:szCs w:val="22"/>
        </w:rPr>
      </w:pPr>
      <w:r>
        <w:rPr>
          <w:rFonts w:ascii="Arial" w:hAnsi="Arial" w:cs="Arial"/>
          <w:sz w:val="22"/>
          <w:szCs w:val="22"/>
        </w:rPr>
        <w:t>Artículo 2.6.5.2. parágrafo – “</w:t>
      </w:r>
      <w:r w:rsidRPr="00EB6DF3">
        <w:rPr>
          <w:rFonts w:ascii="Arial" w:hAnsi="Arial" w:cs="Arial"/>
          <w:sz w:val="22"/>
          <w:szCs w:val="22"/>
        </w:rPr>
        <w:t xml:space="preserve">El profesional idóneo podrá ser un tercero que </w:t>
      </w:r>
      <w:r>
        <w:rPr>
          <w:rFonts w:ascii="Arial" w:hAnsi="Arial" w:cs="Arial"/>
          <w:sz w:val="22"/>
          <w:szCs w:val="22"/>
        </w:rPr>
        <w:t>actúe</w:t>
      </w:r>
      <w:r w:rsidRPr="00EB6DF3">
        <w:rPr>
          <w:rFonts w:ascii="Arial" w:hAnsi="Arial" w:cs="Arial"/>
          <w:sz w:val="22"/>
          <w:szCs w:val="22"/>
        </w:rPr>
        <w:t xml:space="preserve"> en nombre del titular del proyecto</w:t>
      </w:r>
      <w:proofErr w:type="gramStart"/>
      <w:r w:rsidRPr="00EB6DF3">
        <w:rPr>
          <w:rFonts w:ascii="Arial" w:hAnsi="Arial" w:cs="Arial"/>
          <w:sz w:val="22"/>
          <w:szCs w:val="22"/>
        </w:rPr>
        <w:t>?</w:t>
      </w:r>
      <w:proofErr w:type="gramEnd"/>
      <w:r w:rsidRPr="00EB6DF3">
        <w:rPr>
          <w:rFonts w:ascii="Arial" w:hAnsi="Arial" w:cs="Arial"/>
          <w:sz w:val="22"/>
          <w:szCs w:val="22"/>
        </w:rPr>
        <w:t xml:space="preserve"> O dicho profesional deberá estar directamente vinculado por el titular del proyecto</w:t>
      </w:r>
      <w:proofErr w:type="gramStart"/>
      <w:r w:rsidRPr="00EB6DF3">
        <w:rPr>
          <w:rFonts w:ascii="Arial" w:hAnsi="Arial" w:cs="Arial"/>
          <w:sz w:val="22"/>
          <w:szCs w:val="22"/>
        </w:rPr>
        <w:t>?</w:t>
      </w:r>
      <w:proofErr w:type="gramEnd"/>
      <w:r w:rsidRPr="00EB6DF3">
        <w:rPr>
          <w:rFonts w:ascii="Arial" w:hAnsi="Arial" w:cs="Arial"/>
          <w:sz w:val="22"/>
          <w:szCs w:val="22"/>
        </w:rPr>
        <w:t xml:space="preserve"> O es indiferente el vínculo laboral del profesional idóneo con el titular del proyecto</w:t>
      </w:r>
      <w:proofErr w:type="gramStart"/>
      <w:r w:rsidRPr="00EB6DF3">
        <w:rPr>
          <w:rFonts w:ascii="Arial" w:hAnsi="Arial" w:cs="Arial"/>
          <w:sz w:val="22"/>
          <w:szCs w:val="22"/>
        </w:rPr>
        <w:t>?</w:t>
      </w:r>
      <w:proofErr w:type="gramEnd"/>
      <w:r>
        <w:rPr>
          <w:rFonts w:ascii="Arial" w:hAnsi="Arial" w:cs="Arial"/>
          <w:sz w:val="22"/>
          <w:szCs w:val="22"/>
        </w:rPr>
        <w:t>”</w:t>
      </w:r>
    </w:p>
    <w:p w14:paraId="54F39FCE" w14:textId="77777777" w:rsidR="00EB6DF3" w:rsidRDefault="00EB6DF3" w:rsidP="00EB6DF3">
      <w:pPr>
        <w:pStyle w:val="Prrafodelista"/>
        <w:suppressAutoHyphens/>
        <w:jc w:val="both"/>
        <w:rPr>
          <w:rFonts w:ascii="Arial" w:hAnsi="Arial" w:cs="Arial"/>
          <w:sz w:val="22"/>
          <w:szCs w:val="22"/>
        </w:rPr>
      </w:pPr>
    </w:p>
    <w:p w14:paraId="21467FB9" w14:textId="30979D1D" w:rsidR="00EB6DF3" w:rsidRDefault="00EB6DF3" w:rsidP="00EB6DF3">
      <w:pPr>
        <w:pStyle w:val="Prrafodelista"/>
        <w:suppressAutoHyphens/>
        <w:jc w:val="both"/>
        <w:rPr>
          <w:rFonts w:ascii="Arial" w:hAnsi="Arial" w:cs="Arial"/>
          <w:sz w:val="22"/>
          <w:szCs w:val="22"/>
        </w:rPr>
      </w:pPr>
      <w:r>
        <w:rPr>
          <w:rFonts w:ascii="Arial" w:hAnsi="Arial" w:cs="Arial"/>
          <w:sz w:val="22"/>
          <w:szCs w:val="22"/>
        </w:rPr>
        <w:t xml:space="preserve">Respuesta: </w:t>
      </w:r>
      <w:r w:rsidRPr="00EB6DF3">
        <w:rPr>
          <w:rFonts w:ascii="Arial" w:hAnsi="Arial" w:cs="Arial"/>
          <w:sz w:val="22"/>
          <w:szCs w:val="22"/>
        </w:rPr>
        <w:t xml:space="preserve">El único requisito que exige este decreto para el profesional idóneo de que trata el artículo 2.6.5.2. </w:t>
      </w:r>
      <w:proofErr w:type="gramStart"/>
      <w:r w:rsidRPr="00EB6DF3">
        <w:rPr>
          <w:rFonts w:ascii="Arial" w:hAnsi="Arial" w:cs="Arial"/>
          <w:sz w:val="22"/>
          <w:szCs w:val="22"/>
        </w:rPr>
        <w:t>parágrafo</w:t>
      </w:r>
      <w:proofErr w:type="gramEnd"/>
      <w:r w:rsidRPr="00EB6DF3">
        <w:rPr>
          <w:rFonts w:ascii="Arial" w:hAnsi="Arial" w:cs="Arial"/>
          <w:sz w:val="22"/>
          <w:szCs w:val="22"/>
        </w:rPr>
        <w:t xml:space="preserve"> 1 es que este se encuentre registrado ante el ICANH en el “Registro Nacional de Arqueólogos”. No es competencia de este decreto regular las relaciones entre éste y el responsable del programa de arqueología preventiva.</w:t>
      </w:r>
    </w:p>
    <w:p w14:paraId="62A5F513" w14:textId="77777777" w:rsidR="00104530" w:rsidRDefault="00104530" w:rsidP="00EB6DF3">
      <w:pPr>
        <w:pStyle w:val="Prrafodelista"/>
        <w:suppressAutoHyphens/>
        <w:jc w:val="both"/>
        <w:rPr>
          <w:rFonts w:ascii="Arial" w:hAnsi="Arial" w:cs="Arial"/>
          <w:sz w:val="22"/>
          <w:szCs w:val="22"/>
        </w:rPr>
      </w:pPr>
    </w:p>
    <w:p w14:paraId="13B7BBFD" w14:textId="7B0587E5" w:rsidR="00104530" w:rsidRPr="00EB6DF3" w:rsidRDefault="00104530" w:rsidP="00104530">
      <w:pPr>
        <w:pStyle w:val="Prrafodelista"/>
        <w:numPr>
          <w:ilvl w:val="1"/>
          <w:numId w:val="43"/>
        </w:numPr>
        <w:suppressAutoHyphens/>
        <w:jc w:val="both"/>
        <w:rPr>
          <w:rFonts w:ascii="Arial" w:hAnsi="Arial" w:cs="Arial"/>
          <w:sz w:val="22"/>
          <w:szCs w:val="22"/>
        </w:rPr>
      </w:pPr>
      <w:r>
        <w:rPr>
          <w:rFonts w:ascii="Arial" w:hAnsi="Arial" w:cs="Arial"/>
          <w:sz w:val="22"/>
          <w:szCs w:val="22"/>
        </w:rPr>
        <w:t>Artículo 2.6.3.1. – “</w:t>
      </w:r>
      <w:r w:rsidRPr="00104530">
        <w:rPr>
          <w:rFonts w:ascii="Arial" w:hAnsi="Arial" w:cs="Arial"/>
          <w:i/>
          <w:sz w:val="22"/>
          <w:szCs w:val="22"/>
        </w:rPr>
        <w:t>Pareciera establecer una competencia territorial para el reconocimiento de Áreas Arqueológicas Protegidas locales, más aun cuando paso seguido se deja la competencia nacional en el ICANH disponiéndose: Las declaratorias nacionales de ordenamiento territorial para la protección arqueológica se denominan como Área Arqueológica Protegida, y son competencia del ICANH. Esta posible falta de claridad bajo lo que estamos entendiendo, podría entenderse como una facultad en cabeza de las entidades territoriales, quienes a través de esta disposición y en armonía con sus Planes de Ordenamiento Territorial o Esquemas Básicos de Ordenamiento podrían encontrar una manera más de oponerse al desarrollo de proyectos de utilidad pública e interés nacional</w:t>
      </w:r>
      <w:r w:rsidRPr="00104530">
        <w:rPr>
          <w:rFonts w:ascii="Arial" w:hAnsi="Arial" w:cs="Arial"/>
          <w:sz w:val="22"/>
          <w:szCs w:val="22"/>
        </w:rPr>
        <w:t>"</w:t>
      </w:r>
    </w:p>
    <w:p w14:paraId="3414AC7F" w14:textId="77777777" w:rsidR="00104530" w:rsidRDefault="00104530" w:rsidP="00104530">
      <w:pPr>
        <w:pStyle w:val="Prrafodelista"/>
        <w:suppressAutoHyphens/>
        <w:jc w:val="both"/>
        <w:rPr>
          <w:rFonts w:ascii="Arial" w:hAnsi="Arial" w:cs="Arial"/>
          <w:sz w:val="22"/>
          <w:szCs w:val="22"/>
        </w:rPr>
      </w:pPr>
    </w:p>
    <w:p w14:paraId="182A5B6E" w14:textId="15F56A60" w:rsidR="00104530" w:rsidRDefault="00104530" w:rsidP="00104530">
      <w:pPr>
        <w:pStyle w:val="Prrafodelista"/>
        <w:suppressAutoHyphens/>
        <w:jc w:val="both"/>
        <w:rPr>
          <w:rFonts w:ascii="Arial" w:hAnsi="Arial" w:cs="Arial"/>
          <w:sz w:val="22"/>
          <w:szCs w:val="22"/>
        </w:rPr>
      </w:pPr>
      <w:r>
        <w:rPr>
          <w:rFonts w:ascii="Arial" w:hAnsi="Arial" w:cs="Arial"/>
          <w:sz w:val="22"/>
          <w:szCs w:val="22"/>
        </w:rPr>
        <w:t xml:space="preserve">Respuesta: </w:t>
      </w:r>
      <w:r w:rsidRPr="00104530">
        <w:rPr>
          <w:rFonts w:ascii="Arial" w:hAnsi="Arial" w:cs="Arial"/>
          <w:sz w:val="22"/>
          <w:szCs w:val="22"/>
        </w:rPr>
        <w:t xml:space="preserve">El Artículo es claro en mencionar que el único con la competencia para declarar las áreas arqueológicas protegidas es el ICANH. No obstante, las </w:t>
      </w:r>
      <w:r w:rsidRPr="00104530">
        <w:rPr>
          <w:rFonts w:ascii="Arial" w:hAnsi="Arial" w:cs="Arial"/>
          <w:sz w:val="22"/>
          <w:szCs w:val="22"/>
        </w:rPr>
        <w:lastRenderedPageBreak/>
        <w:t>autoridades locales pueden solicitar la declaratoria al ICANH, que será la autoridad competente para evaluar su procedencia o no.</w:t>
      </w:r>
    </w:p>
    <w:p w14:paraId="3C3ED3ED" w14:textId="77777777" w:rsidR="00445771" w:rsidRDefault="00445771" w:rsidP="00445771">
      <w:pPr>
        <w:suppressAutoHyphens/>
        <w:jc w:val="both"/>
        <w:rPr>
          <w:rFonts w:ascii="Arial" w:hAnsi="Arial" w:cs="Arial"/>
          <w:sz w:val="22"/>
          <w:szCs w:val="22"/>
        </w:rPr>
      </w:pPr>
      <w:bookmarkStart w:id="0" w:name="_GoBack"/>
      <w:bookmarkEnd w:id="0"/>
    </w:p>
    <w:p w14:paraId="749E4D01" w14:textId="66E2B4C5" w:rsidR="00445771" w:rsidRPr="00445771" w:rsidRDefault="00453BEA" w:rsidP="00445771">
      <w:pPr>
        <w:pStyle w:val="Prrafodelista"/>
        <w:numPr>
          <w:ilvl w:val="0"/>
          <w:numId w:val="43"/>
        </w:numPr>
        <w:suppressAutoHyphens/>
        <w:ind w:left="426" w:hanging="426"/>
        <w:jc w:val="both"/>
        <w:rPr>
          <w:rFonts w:ascii="Arial" w:hAnsi="Arial" w:cs="Arial"/>
          <w:b/>
          <w:sz w:val="22"/>
          <w:szCs w:val="22"/>
        </w:rPr>
      </w:pPr>
      <w:r>
        <w:rPr>
          <w:rFonts w:ascii="Arial" w:hAnsi="Arial" w:cs="Arial"/>
          <w:b/>
          <w:sz w:val="22"/>
          <w:szCs w:val="22"/>
        </w:rPr>
        <w:t>Sobre plazos de respuesta por parte del ICANH</w:t>
      </w:r>
    </w:p>
    <w:p w14:paraId="1B2A5C8D" w14:textId="77777777" w:rsidR="00445771" w:rsidRDefault="00445771" w:rsidP="00445771">
      <w:pPr>
        <w:suppressAutoHyphens/>
        <w:ind w:left="360"/>
        <w:jc w:val="both"/>
        <w:rPr>
          <w:rFonts w:ascii="Arial" w:hAnsi="Arial" w:cs="Arial"/>
          <w:sz w:val="22"/>
          <w:szCs w:val="22"/>
        </w:rPr>
      </w:pPr>
    </w:p>
    <w:p w14:paraId="29D346BD" w14:textId="6C6C2880" w:rsidR="00445771" w:rsidRDefault="00445771" w:rsidP="00445771">
      <w:pPr>
        <w:pStyle w:val="Prrafodelista"/>
        <w:numPr>
          <w:ilvl w:val="1"/>
          <w:numId w:val="43"/>
        </w:numPr>
        <w:suppressAutoHyphens/>
        <w:jc w:val="both"/>
        <w:rPr>
          <w:rFonts w:ascii="Arial" w:hAnsi="Arial" w:cs="Arial"/>
          <w:sz w:val="22"/>
          <w:szCs w:val="22"/>
        </w:rPr>
      </w:pPr>
      <w:r w:rsidRPr="00445771">
        <w:rPr>
          <w:rFonts w:ascii="Arial" w:hAnsi="Arial" w:cs="Arial"/>
          <w:sz w:val="22"/>
          <w:szCs w:val="22"/>
        </w:rPr>
        <w:t>"</w:t>
      </w:r>
      <w:r w:rsidRPr="00445771">
        <w:rPr>
          <w:rFonts w:ascii="Arial" w:hAnsi="Arial" w:cs="Arial"/>
          <w:i/>
          <w:sz w:val="22"/>
          <w:szCs w:val="22"/>
        </w:rPr>
        <w:t>Dicho artículo no contempla la función establecida en el artículo 14 de la precitada ley, función que consideramos a todas luces importante, máxime cuando se trata de una función a desarrollar en conjunto con la Comisión Intersectorial de Propiedad Intelectual (CIPI) y por lo tanto con las Entidades que la conforman, dentro de las cuales se encuentra la Superintendencia de Industria y Comercio</w:t>
      </w:r>
      <w:r w:rsidRPr="00445771">
        <w:rPr>
          <w:rFonts w:ascii="Arial" w:hAnsi="Arial" w:cs="Arial"/>
          <w:sz w:val="22"/>
          <w:szCs w:val="22"/>
        </w:rPr>
        <w:t>".</w:t>
      </w:r>
    </w:p>
    <w:p w14:paraId="034CBAE0" w14:textId="77777777" w:rsidR="00445771" w:rsidRDefault="00445771" w:rsidP="00445771">
      <w:pPr>
        <w:suppressAutoHyphens/>
        <w:ind w:left="720"/>
        <w:jc w:val="both"/>
        <w:rPr>
          <w:rFonts w:ascii="Arial" w:hAnsi="Arial" w:cs="Arial"/>
          <w:sz w:val="22"/>
          <w:szCs w:val="22"/>
        </w:rPr>
      </w:pPr>
    </w:p>
    <w:p w14:paraId="0D0804F0" w14:textId="6A3EA87B" w:rsidR="00445771" w:rsidRPr="00445771" w:rsidRDefault="00445771" w:rsidP="00445771">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acoge la sugerencia y se incluirá una función específic</w:t>
      </w:r>
      <w:r>
        <w:rPr>
          <w:rFonts w:ascii="Arial" w:hAnsi="Arial" w:cs="Arial"/>
          <w:sz w:val="22"/>
          <w:szCs w:val="22"/>
        </w:rPr>
        <w:t>a del Consejo con relación a lo</w:t>
      </w:r>
      <w:r w:rsidRPr="00445771">
        <w:rPr>
          <w:rFonts w:ascii="Arial" w:hAnsi="Arial" w:cs="Arial"/>
          <w:sz w:val="22"/>
          <w:szCs w:val="22"/>
        </w:rPr>
        <w:t xml:space="preserve"> dispuesto en el artículo 14 de la Ley 1834 de 2017.</w:t>
      </w:r>
    </w:p>
    <w:p w14:paraId="0C5A96C9" w14:textId="77777777" w:rsidR="00445771" w:rsidRDefault="00445771" w:rsidP="00445771">
      <w:pPr>
        <w:suppressAutoHyphens/>
        <w:jc w:val="both"/>
        <w:rPr>
          <w:rFonts w:ascii="Arial" w:hAnsi="Arial" w:cs="Arial"/>
          <w:sz w:val="22"/>
          <w:szCs w:val="22"/>
        </w:rPr>
      </w:pPr>
    </w:p>
    <w:p w14:paraId="25747AA6" w14:textId="33E0973F" w:rsidR="00104530" w:rsidRPr="00104530" w:rsidRDefault="00104530" w:rsidP="00104530">
      <w:pPr>
        <w:pStyle w:val="Prrafodelista"/>
        <w:numPr>
          <w:ilvl w:val="1"/>
          <w:numId w:val="43"/>
        </w:numPr>
        <w:suppressAutoHyphens/>
        <w:jc w:val="both"/>
        <w:rPr>
          <w:rFonts w:ascii="Arial" w:hAnsi="Arial" w:cs="Arial"/>
          <w:sz w:val="22"/>
          <w:szCs w:val="22"/>
        </w:rPr>
      </w:pPr>
      <w:r>
        <w:rPr>
          <w:rFonts w:ascii="Arial" w:hAnsi="Arial" w:cs="Arial"/>
          <w:sz w:val="22"/>
          <w:szCs w:val="22"/>
        </w:rPr>
        <w:t>Artículo 2.6.5.10. – “</w:t>
      </w:r>
      <w:r w:rsidRPr="00104530">
        <w:rPr>
          <w:rFonts w:ascii="Arial" w:hAnsi="Arial" w:cs="Arial"/>
          <w:sz w:val="22"/>
          <w:szCs w:val="22"/>
        </w:rPr>
        <w:t>El ICANH deberá verificar dentro de los cinco (5) días siguientes a la solicitud de cesión del Programa de Arqueología Preventiva que la información se encuentre completa. De identificar información faltante o incompleta deberá requerir al solicitante dentro de ese plazo por una sola vez. El solicitante deberá presentar la información adicional dentro de los diez (10) días siguientes a la solicitud por parte del ICANH.</w:t>
      </w:r>
    </w:p>
    <w:p w14:paraId="11AA8263" w14:textId="77777777" w:rsidR="00104530" w:rsidRDefault="00104530" w:rsidP="00104530">
      <w:pPr>
        <w:pStyle w:val="Prrafodelista"/>
        <w:suppressAutoHyphens/>
        <w:ind w:left="1440"/>
        <w:jc w:val="both"/>
        <w:rPr>
          <w:rFonts w:ascii="Arial" w:hAnsi="Arial" w:cs="Arial"/>
          <w:sz w:val="22"/>
          <w:szCs w:val="22"/>
        </w:rPr>
      </w:pPr>
    </w:p>
    <w:p w14:paraId="30AAE79A" w14:textId="10D3BA69" w:rsidR="00104530" w:rsidRDefault="00104530" w:rsidP="00104530">
      <w:pPr>
        <w:pStyle w:val="Prrafodelista"/>
        <w:suppressAutoHyphens/>
        <w:ind w:left="1440"/>
        <w:jc w:val="both"/>
        <w:rPr>
          <w:rFonts w:ascii="Arial" w:hAnsi="Arial" w:cs="Arial"/>
          <w:sz w:val="22"/>
          <w:szCs w:val="22"/>
        </w:rPr>
      </w:pPr>
      <w:r w:rsidRPr="00104530">
        <w:rPr>
          <w:rFonts w:ascii="Arial" w:hAnsi="Arial" w:cs="Arial"/>
          <w:sz w:val="22"/>
          <w:szCs w:val="22"/>
        </w:rPr>
        <w:t>Verificada la información aportada y de acuerdo a las competencias legales, el ICANH expedirá en un término no mayor de quince (15) días hábiles contados a partir de la presentación de la solicitud, la aprobación de la cesión del Programa de Arqueología Preventiva. Cuando se haya radicado la cesión del Programa de Arqueología Preventiva de manera incompleta, el plazo de quince (15) días empezará a contar a partir de la fecha en que se entregó la información completa.</w:t>
      </w:r>
      <w:r>
        <w:rPr>
          <w:rFonts w:ascii="Arial" w:hAnsi="Arial" w:cs="Arial"/>
          <w:sz w:val="22"/>
          <w:szCs w:val="22"/>
        </w:rPr>
        <w:t>”</w:t>
      </w:r>
    </w:p>
    <w:p w14:paraId="25A2F81B" w14:textId="77777777" w:rsidR="00104530" w:rsidRPr="00104530" w:rsidRDefault="00104530" w:rsidP="00104530">
      <w:pPr>
        <w:pStyle w:val="Prrafodelista"/>
        <w:suppressAutoHyphens/>
        <w:jc w:val="both"/>
        <w:rPr>
          <w:rFonts w:ascii="Arial" w:hAnsi="Arial" w:cs="Arial"/>
          <w:sz w:val="22"/>
          <w:szCs w:val="22"/>
        </w:rPr>
      </w:pPr>
    </w:p>
    <w:p w14:paraId="12D1B21B" w14:textId="2AA6F8DD" w:rsidR="00104530" w:rsidRPr="00445771" w:rsidRDefault="00104530" w:rsidP="00104530">
      <w:pPr>
        <w:suppressAutoHyphens/>
        <w:ind w:left="720"/>
        <w:jc w:val="both"/>
        <w:rPr>
          <w:rFonts w:ascii="Arial" w:hAnsi="Arial" w:cs="Arial"/>
          <w:sz w:val="22"/>
          <w:szCs w:val="22"/>
        </w:rPr>
      </w:pPr>
      <w:r>
        <w:rPr>
          <w:rFonts w:ascii="Arial" w:hAnsi="Arial" w:cs="Arial"/>
          <w:sz w:val="22"/>
          <w:szCs w:val="22"/>
        </w:rPr>
        <w:t xml:space="preserve">Respuesta: </w:t>
      </w:r>
      <w:r w:rsidRPr="00104530">
        <w:rPr>
          <w:rFonts w:ascii="Arial" w:hAnsi="Arial" w:cs="Arial"/>
          <w:i/>
          <w:sz w:val="22"/>
          <w:szCs w:val="22"/>
        </w:rPr>
        <w:t>Los tiempos de respuesta a las solicitudes se realizan de acuerdo a la Ley 143 de 2011, de acuerdo con el parágrafo 2 del artículo 2.6.1.7., que estipula "Parágrafo 2°. Las solicitudes que se realicen en cumplimiento de lo establecido en la Parte VI “Patrimonio Arqueológico”, serán atendidas por el ICANH teniendo en cuenta los términos previstos en la Ley 1437 de 2011, Código de Procedimiento Administrativo y de lo Contencioso Administrativo</w:t>
      </w:r>
      <w:r w:rsidRPr="00104530">
        <w:rPr>
          <w:rFonts w:ascii="Arial" w:hAnsi="Arial" w:cs="Arial"/>
          <w:sz w:val="22"/>
          <w:szCs w:val="22"/>
        </w:rPr>
        <w:t>."</w:t>
      </w:r>
      <w:r w:rsidRPr="00445771">
        <w:rPr>
          <w:rFonts w:ascii="Arial" w:hAnsi="Arial" w:cs="Arial"/>
          <w:sz w:val="22"/>
          <w:szCs w:val="22"/>
        </w:rPr>
        <w:t>.</w:t>
      </w:r>
    </w:p>
    <w:p w14:paraId="2783CD66" w14:textId="77777777" w:rsidR="00104530" w:rsidRDefault="00104530" w:rsidP="00445771">
      <w:pPr>
        <w:suppressAutoHyphens/>
        <w:jc w:val="both"/>
        <w:rPr>
          <w:rFonts w:ascii="Arial" w:hAnsi="Arial" w:cs="Arial"/>
          <w:sz w:val="22"/>
          <w:szCs w:val="22"/>
        </w:rPr>
      </w:pPr>
    </w:p>
    <w:p w14:paraId="02FD47AF" w14:textId="55714294" w:rsidR="00453BEA" w:rsidRDefault="00453BEA" w:rsidP="00445771">
      <w:pPr>
        <w:pStyle w:val="Prrafodelista"/>
        <w:numPr>
          <w:ilvl w:val="0"/>
          <w:numId w:val="43"/>
        </w:numPr>
        <w:suppressAutoHyphens/>
        <w:ind w:left="426" w:hanging="426"/>
        <w:jc w:val="both"/>
        <w:rPr>
          <w:rFonts w:ascii="Arial" w:hAnsi="Arial" w:cs="Arial"/>
          <w:b/>
          <w:sz w:val="22"/>
          <w:szCs w:val="22"/>
        </w:rPr>
      </w:pPr>
      <w:r>
        <w:rPr>
          <w:rFonts w:ascii="Arial" w:hAnsi="Arial" w:cs="Arial"/>
          <w:b/>
          <w:sz w:val="22"/>
          <w:szCs w:val="22"/>
        </w:rPr>
        <w:t xml:space="preserve">Sobre términos </w:t>
      </w:r>
      <w:r w:rsidR="00EB6DF3">
        <w:rPr>
          <w:rFonts w:ascii="Arial" w:hAnsi="Arial" w:cs="Arial"/>
          <w:b/>
          <w:sz w:val="22"/>
          <w:szCs w:val="22"/>
        </w:rPr>
        <w:t>de referencia y protocolos</w:t>
      </w:r>
    </w:p>
    <w:p w14:paraId="75C2F94B" w14:textId="77777777" w:rsidR="00453BEA" w:rsidRDefault="00453BEA" w:rsidP="00453BEA">
      <w:pPr>
        <w:pStyle w:val="Prrafodelista"/>
        <w:suppressAutoHyphens/>
        <w:ind w:left="426"/>
        <w:jc w:val="both"/>
        <w:rPr>
          <w:rFonts w:ascii="Arial" w:hAnsi="Arial" w:cs="Arial"/>
          <w:b/>
          <w:sz w:val="22"/>
          <w:szCs w:val="22"/>
        </w:rPr>
      </w:pPr>
    </w:p>
    <w:p w14:paraId="751404E6" w14:textId="63B89EB5" w:rsidR="00EB6DF3" w:rsidRPr="00EB6DF3" w:rsidRDefault="00EB6DF3" w:rsidP="00EB6DF3">
      <w:pPr>
        <w:pStyle w:val="Prrafodelista"/>
        <w:numPr>
          <w:ilvl w:val="1"/>
          <w:numId w:val="43"/>
        </w:numPr>
        <w:suppressAutoHyphens/>
        <w:jc w:val="both"/>
        <w:rPr>
          <w:rFonts w:ascii="Arial" w:hAnsi="Arial" w:cs="Arial"/>
          <w:sz w:val="22"/>
          <w:szCs w:val="22"/>
        </w:rPr>
      </w:pPr>
      <w:r w:rsidRPr="00EB6DF3">
        <w:rPr>
          <w:rFonts w:ascii="Arial" w:hAnsi="Arial" w:cs="Arial"/>
          <w:sz w:val="22"/>
          <w:szCs w:val="22"/>
        </w:rPr>
        <w:t>Se debe dar claridad el plazo en los cuales de emitirán los términos de referencia, donde se indique el contenido y periodicidad de los informes.</w:t>
      </w:r>
    </w:p>
    <w:p w14:paraId="0B857C31" w14:textId="77777777" w:rsidR="00EB6DF3" w:rsidRPr="00EB6DF3" w:rsidRDefault="00EB6DF3" w:rsidP="00EB6DF3">
      <w:pPr>
        <w:suppressAutoHyphens/>
        <w:jc w:val="both"/>
        <w:rPr>
          <w:rFonts w:ascii="Arial" w:hAnsi="Arial" w:cs="Arial"/>
          <w:b/>
          <w:sz w:val="22"/>
          <w:szCs w:val="22"/>
        </w:rPr>
      </w:pPr>
    </w:p>
    <w:p w14:paraId="49CA9559" w14:textId="4785A2E7" w:rsidR="00EB6DF3" w:rsidRPr="00EB6DF3" w:rsidRDefault="00EB6DF3" w:rsidP="00EB6DF3">
      <w:pPr>
        <w:suppressAutoHyphens/>
        <w:ind w:left="720"/>
        <w:jc w:val="both"/>
        <w:rPr>
          <w:rFonts w:ascii="Arial" w:hAnsi="Arial" w:cs="Arial"/>
          <w:sz w:val="22"/>
          <w:szCs w:val="22"/>
        </w:rPr>
      </w:pPr>
      <w:r>
        <w:rPr>
          <w:rFonts w:ascii="Arial" w:hAnsi="Arial" w:cs="Arial"/>
          <w:sz w:val="22"/>
          <w:szCs w:val="22"/>
        </w:rPr>
        <w:lastRenderedPageBreak/>
        <w:t xml:space="preserve">Respuesta: </w:t>
      </w:r>
      <w:r w:rsidRPr="00EB6DF3">
        <w:rPr>
          <w:rFonts w:ascii="Arial" w:hAnsi="Arial" w:cs="Arial"/>
          <w:sz w:val="22"/>
          <w:szCs w:val="22"/>
        </w:rPr>
        <w:t>En el Artículo tercero se establece el plazo para emitir los términ</w:t>
      </w:r>
      <w:r>
        <w:rPr>
          <w:rFonts w:ascii="Arial" w:hAnsi="Arial" w:cs="Arial"/>
          <w:sz w:val="22"/>
          <w:szCs w:val="22"/>
        </w:rPr>
        <w:t>os de referencia, procedimientos</w:t>
      </w:r>
      <w:r w:rsidRPr="00EB6DF3">
        <w:rPr>
          <w:rFonts w:ascii="Arial" w:hAnsi="Arial" w:cs="Arial"/>
          <w:sz w:val="22"/>
          <w:szCs w:val="22"/>
        </w:rPr>
        <w:t xml:space="preserve"> y protocolos asociados al programa de arqueología </w:t>
      </w:r>
      <w:r w:rsidRPr="00EB6DF3">
        <w:rPr>
          <w:rFonts w:ascii="Arial" w:hAnsi="Arial" w:cs="Arial"/>
          <w:sz w:val="22"/>
          <w:szCs w:val="22"/>
        </w:rPr>
        <w:t>preventiva</w:t>
      </w:r>
      <w:r w:rsidRPr="00EB6DF3">
        <w:rPr>
          <w:rFonts w:ascii="Arial" w:hAnsi="Arial" w:cs="Arial"/>
          <w:sz w:val="22"/>
          <w:szCs w:val="22"/>
        </w:rPr>
        <w:t>.</w:t>
      </w:r>
    </w:p>
    <w:p w14:paraId="7BD05224" w14:textId="77777777" w:rsidR="00EB6DF3" w:rsidRPr="00EB6DF3" w:rsidRDefault="00EB6DF3" w:rsidP="00EB6DF3">
      <w:pPr>
        <w:suppressAutoHyphens/>
        <w:ind w:left="720"/>
        <w:jc w:val="both"/>
        <w:rPr>
          <w:rFonts w:ascii="Arial" w:hAnsi="Arial" w:cs="Arial"/>
          <w:sz w:val="22"/>
          <w:szCs w:val="22"/>
        </w:rPr>
      </w:pPr>
    </w:p>
    <w:p w14:paraId="01EC34FB" w14:textId="77777777" w:rsidR="00EB6DF3" w:rsidRPr="00EB6DF3" w:rsidRDefault="00EB6DF3" w:rsidP="00EB6DF3">
      <w:pPr>
        <w:suppressAutoHyphens/>
        <w:ind w:left="720"/>
        <w:jc w:val="both"/>
        <w:rPr>
          <w:rFonts w:ascii="Arial" w:hAnsi="Arial" w:cs="Arial"/>
          <w:i/>
          <w:sz w:val="22"/>
          <w:szCs w:val="22"/>
        </w:rPr>
      </w:pPr>
      <w:r w:rsidRPr="00EB6DF3">
        <w:rPr>
          <w:rFonts w:ascii="Arial" w:hAnsi="Arial" w:cs="Arial"/>
          <w:i/>
          <w:sz w:val="22"/>
          <w:szCs w:val="22"/>
        </w:rPr>
        <w:t>"ARTÍCULO TERCERO. Ajuste de procedimientos, términos de referencia y protocolos. El ICANH deberá ajustar sus procedimientos de conformidad con lo establecido en el presente Decreto. También deberá expedir los términos de referencia y protocolos que regulen el trámite del Programa de Arqueología Preventiva en un plazo no mayor de seis (06) meses, contados a partir de la publicación del presente Decreto. Mientras los términos de referencia son expedidos seguirá presentándose la información y tramitándose conforme a las directrices existentes.</w:t>
      </w:r>
    </w:p>
    <w:p w14:paraId="5DB92513" w14:textId="77777777" w:rsidR="00EB6DF3" w:rsidRPr="00EB6DF3" w:rsidRDefault="00EB6DF3" w:rsidP="00EB6DF3">
      <w:pPr>
        <w:suppressAutoHyphens/>
        <w:ind w:left="720"/>
        <w:jc w:val="both"/>
        <w:rPr>
          <w:rFonts w:ascii="Arial" w:hAnsi="Arial" w:cs="Arial"/>
          <w:i/>
          <w:sz w:val="22"/>
          <w:szCs w:val="22"/>
        </w:rPr>
      </w:pPr>
    </w:p>
    <w:p w14:paraId="1AFA279D" w14:textId="22D023F8" w:rsidR="00EB6DF3" w:rsidRPr="00EB6DF3" w:rsidRDefault="00EB6DF3" w:rsidP="00EB6DF3">
      <w:pPr>
        <w:suppressAutoHyphens/>
        <w:ind w:left="720"/>
        <w:jc w:val="both"/>
        <w:rPr>
          <w:rFonts w:ascii="Arial" w:hAnsi="Arial" w:cs="Arial"/>
          <w:i/>
          <w:sz w:val="22"/>
          <w:szCs w:val="22"/>
        </w:rPr>
      </w:pPr>
      <w:r w:rsidRPr="00EB6DF3">
        <w:rPr>
          <w:rFonts w:ascii="Arial" w:hAnsi="Arial" w:cs="Arial"/>
          <w:i/>
          <w:sz w:val="22"/>
          <w:szCs w:val="22"/>
        </w:rPr>
        <w:t xml:space="preserve">Para la formulación de dichos términos y protocolos deberá permitir la participación de las entidades e instancias interesadas, en correspondencia con el artículo 2.1.2.1.23. </w:t>
      </w:r>
      <w:proofErr w:type="gramStart"/>
      <w:r w:rsidRPr="00EB6DF3">
        <w:rPr>
          <w:rFonts w:ascii="Arial" w:hAnsi="Arial" w:cs="Arial"/>
          <w:i/>
          <w:sz w:val="22"/>
          <w:szCs w:val="22"/>
        </w:rPr>
        <w:t>del</w:t>
      </w:r>
      <w:proofErr w:type="gramEnd"/>
      <w:r w:rsidRPr="00EB6DF3">
        <w:rPr>
          <w:rFonts w:ascii="Arial" w:hAnsi="Arial" w:cs="Arial"/>
          <w:i/>
          <w:sz w:val="22"/>
          <w:szCs w:val="22"/>
        </w:rPr>
        <w:t xml:space="preserve"> Decreto 1081 de 2015, adicionado por el artículo 5 del Decreto 270 de 2017.".</w:t>
      </w:r>
    </w:p>
    <w:p w14:paraId="67915E54" w14:textId="77777777" w:rsidR="00EB6DF3" w:rsidRPr="00104530" w:rsidRDefault="00EB6DF3" w:rsidP="00104530">
      <w:pPr>
        <w:suppressAutoHyphens/>
        <w:jc w:val="both"/>
        <w:rPr>
          <w:rFonts w:ascii="Arial" w:hAnsi="Arial" w:cs="Arial"/>
          <w:i/>
          <w:sz w:val="22"/>
          <w:szCs w:val="22"/>
        </w:rPr>
      </w:pPr>
    </w:p>
    <w:p w14:paraId="3309DCD2" w14:textId="77777777" w:rsidR="00104530" w:rsidRDefault="00104530" w:rsidP="00104530">
      <w:pPr>
        <w:pStyle w:val="Prrafodelista"/>
        <w:numPr>
          <w:ilvl w:val="1"/>
          <w:numId w:val="43"/>
        </w:numPr>
        <w:suppressAutoHyphens/>
        <w:jc w:val="both"/>
        <w:rPr>
          <w:rFonts w:ascii="Arial" w:hAnsi="Arial" w:cs="Arial"/>
          <w:i/>
          <w:sz w:val="22"/>
          <w:szCs w:val="22"/>
        </w:rPr>
      </w:pPr>
      <w:r>
        <w:rPr>
          <w:rFonts w:ascii="Arial" w:hAnsi="Arial" w:cs="Arial"/>
          <w:i/>
          <w:sz w:val="22"/>
          <w:szCs w:val="22"/>
        </w:rPr>
        <w:t>Artículo 2.6.5.8. – “</w:t>
      </w:r>
      <w:r w:rsidRPr="00104530">
        <w:rPr>
          <w:rFonts w:ascii="Arial" w:hAnsi="Arial" w:cs="Arial"/>
          <w:i/>
          <w:sz w:val="22"/>
          <w:szCs w:val="22"/>
        </w:rPr>
        <w:t>El ICANH precisará en los términos de referencia el alcance y lineamientos de esta fase. Mientras los términos de referencia son expedidos seguirá desarrollándose conforme a las directrices vigentes</w:t>
      </w:r>
      <w:r>
        <w:rPr>
          <w:rFonts w:ascii="Arial" w:hAnsi="Arial" w:cs="Arial"/>
          <w:i/>
          <w:sz w:val="22"/>
          <w:szCs w:val="22"/>
        </w:rPr>
        <w:t>”</w:t>
      </w:r>
    </w:p>
    <w:p w14:paraId="037F1714" w14:textId="77777777" w:rsidR="00104530" w:rsidRDefault="00104530" w:rsidP="00104530">
      <w:pPr>
        <w:pStyle w:val="Prrafodelista"/>
        <w:suppressAutoHyphens/>
        <w:jc w:val="both"/>
        <w:rPr>
          <w:rFonts w:ascii="Arial" w:hAnsi="Arial" w:cs="Arial"/>
          <w:sz w:val="22"/>
          <w:szCs w:val="22"/>
        </w:rPr>
      </w:pPr>
    </w:p>
    <w:p w14:paraId="375147D6" w14:textId="1C559E47" w:rsidR="00104530" w:rsidRDefault="00104530" w:rsidP="00104530">
      <w:pPr>
        <w:pStyle w:val="Prrafodelista"/>
        <w:suppressAutoHyphens/>
        <w:jc w:val="both"/>
        <w:rPr>
          <w:rFonts w:ascii="Arial" w:hAnsi="Arial" w:cs="Arial"/>
          <w:sz w:val="22"/>
          <w:szCs w:val="22"/>
        </w:rPr>
      </w:pPr>
      <w:r w:rsidRPr="00104530">
        <w:rPr>
          <w:rFonts w:ascii="Arial" w:hAnsi="Arial" w:cs="Arial"/>
          <w:sz w:val="22"/>
          <w:szCs w:val="22"/>
        </w:rPr>
        <w:t xml:space="preserve">Respuesta: En el Artículo tercero se establece el plazo para emitir los términos de referencia, procedimiento y protocolos asociados al programa de arqueología </w:t>
      </w:r>
      <w:r w:rsidRPr="00104530">
        <w:rPr>
          <w:rFonts w:ascii="Arial" w:hAnsi="Arial" w:cs="Arial"/>
          <w:sz w:val="22"/>
          <w:szCs w:val="22"/>
        </w:rPr>
        <w:t>preventiva</w:t>
      </w:r>
      <w:r w:rsidRPr="00104530">
        <w:rPr>
          <w:rFonts w:ascii="Arial" w:hAnsi="Arial" w:cs="Arial"/>
          <w:sz w:val="22"/>
          <w:szCs w:val="22"/>
        </w:rPr>
        <w:t>.</w:t>
      </w:r>
    </w:p>
    <w:p w14:paraId="0A74953C" w14:textId="77777777" w:rsidR="00104530" w:rsidRPr="00104530" w:rsidRDefault="00104530" w:rsidP="00104530">
      <w:pPr>
        <w:pStyle w:val="Prrafodelista"/>
        <w:suppressAutoHyphens/>
        <w:jc w:val="both"/>
        <w:rPr>
          <w:rFonts w:ascii="Arial" w:hAnsi="Arial" w:cs="Arial"/>
          <w:sz w:val="22"/>
          <w:szCs w:val="22"/>
        </w:rPr>
      </w:pPr>
    </w:p>
    <w:p w14:paraId="0A9B7F85" w14:textId="2103024D" w:rsidR="00104530" w:rsidRPr="00104530" w:rsidRDefault="00104530" w:rsidP="00104530">
      <w:pPr>
        <w:pStyle w:val="Prrafodelista"/>
        <w:suppressAutoHyphens/>
        <w:jc w:val="both"/>
        <w:rPr>
          <w:rFonts w:ascii="Arial" w:hAnsi="Arial" w:cs="Arial"/>
          <w:sz w:val="22"/>
          <w:szCs w:val="22"/>
        </w:rPr>
      </w:pPr>
      <w:r w:rsidRPr="00104530">
        <w:rPr>
          <w:rFonts w:ascii="Arial" w:hAnsi="Arial" w:cs="Arial"/>
          <w:sz w:val="22"/>
          <w:szCs w:val="22"/>
        </w:rPr>
        <w:t>"ARTÍCULO TERCERO... Mientras los términos de referencia son expedidos seguirá presentándose la información y tramitándose conforme a las directrices existentes.".</w:t>
      </w:r>
    </w:p>
    <w:p w14:paraId="172E1F0B" w14:textId="0B7C0A7C" w:rsidR="00104530" w:rsidRPr="00104530" w:rsidRDefault="00104530" w:rsidP="00104530">
      <w:pPr>
        <w:pStyle w:val="Prrafodelista"/>
        <w:suppressAutoHyphens/>
        <w:ind w:left="1440"/>
        <w:jc w:val="both"/>
        <w:rPr>
          <w:rFonts w:ascii="Arial" w:hAnsi="Arial" w:cs="Arial"/>
          <w:i/>
          <w:sz w:val="22"/>
          <w:szCs w:val="22"/>
        </w:rPr>
      </w:pPr>
    </w:p>
    <w:p w14:paraId="793D1867" w14:textId="1AE29562" w:rsidR="00453BEA" w:rsidRPr="00EB6DF3" w:rsidRDefault="00453BEA" w:rsidP="00453BEA">
      <w:pPr>
        <w:pStyle w:val="Prrafodelista"/>
        <w:numPr>
          <w:ilvl w:val="1"/>
          <w:numId w:val="43"/>
        </w:numPr>
        <w:suppressAutoHyphens/>
        <w:jc w:val="both"/>
        <w:rPr>
          <w:rFonts w:ascii="Arial" w:hAnsi="Arial" w:cs="Arial"/>
          <w:i/>
          <w:sz w:val="22"/>
          <w:szCs w:val="22"/>
        </w:rPr>
      </w:pPr>
      <w:r w:rsidRPr="00EB6DF3">
        <w:rPr>
          <w:rFonts w:ascii="Arial" w:hAnsi="Arial" w:cs="Arial"/>
          <w:sz w:val="22"/>
          <w:szCs w:val="22"/>
        </w:rPr>
        <w:t xml:space="preserve">Artículo </w:t>
      </w:r>
      <w:r w:rsidR="00EB6DF3" w:rsidRPr="00EB6DF3">
        <w:rPr>
          <w:rFonts w:ascii="Arial" w:hAnsi="Arial" w:cs="Arial"/>
          <w:sz w:val="22"/>
          <w:szCs w:val="22"/>
        </w:rPr>
        <w:t xml:space="preserve">2.6.2.3. </w:t>
      </w:r>
      <w:r w:rsidRPr="00EB6DF3">
        <w:rPr>
          <w:rFonts w:ascii="Arial" w:hAnsi="Arial" w:cs="Arial"/>
          <w:sz w:val="22"/>
          <w:szCs w:val="22"/>
        </w:rPr>
        <w:t>“</w:t>
      </w:r>
      <w:r w:rsidRPr="00EB6DF3">
        <w:rPr>
          <w:rFonts w:ascii="Arial" w:hAnsi="Arial" w:cs="Arial"/>
          <w:i/>
          <w:sz w:val="22"/>
          <w:szCs w:val="22"/>
        </w:rPr>
        <w:t xml:space="preserve">Se debe aclarar a que corresponde el cumplimiento de las condiciones establecidas por el ICANH, para adquirir la condición de tenedor. Deben ser claras las condiciones para ser un tenedor. </w:t>
      </w:r>
    </w:p>
    <w:p w14:paraId="30989A3A" w14:textId="77777777" w:rsidR="00453BEA" w:rsidRPr="00EB6DF3" w:rsidRDefault="00453BEA" w:rsidP="00453BEA">
      <w:pPr>
        <w:pStyle w:val="Prrafodelista"/>
        <w:suppressAutoHyphens/>
        <w:ind w:left="1440"/>
        <w:jc w:val="both"/>
        <w:rPr>
          <w:rFonts w:ascii="Arial" w:hAnsi="Arial" w:cs="Arial"/>
          <w:i/>
          <w:sz w:val="22"/>
          <w:szCs w:val="22"/>
        </w:rPr>
      </w:pPr>
    </w:p>
    <w:p w14:paraId="3BFE6ADA" w14:textId="3D2787FC" w:rsidR="00453BEA" w:rsidRPr="00EB6DF3" w:rsidRDefault="00453BEA" w:rsidP="00453BEA">
      <w:pPr>
        <w:pStyle w:val="Prrafodelista"/>
        <w:suppressAutoHyphens/>
        <w:ind w:left="1440"/>
        <w:jc w:val="both"/>
        <w:rPr>
          <w:rFonts w:ascii="Arial" w:hAnsi="Arial" w:cs="Arial"/>
          <w:sz w:val="22"/>
          <w:szCs w:val="22"/>
        </w:rPr>
      </w:pPr>
      <w:r w:rsidRPr="00EB6DF3">
        <w:rPr>
          <w:rFonts w:ascii="Arial" w:hAnsi="Arial" w:cs="Arial"/>
          <w:i/>
          <w:sz w:val="22"/>
          <w:szCs w:val="22"/>
        </w:rPr>
        <w:t>Estas condiciones estarían vinculadas a la publicación que se realizará dentro de los seis meses que se hace referencia dentro del proyecto de decreto</w:t>
      </w:r>
      <w:proofErr w:type="gramStart"/>
      <w:r w:rsidRPr="00EB6DF3">
        <w:rPr>
          <w:rFonts w:ascii="Arial" w:hAnsi="Arial" w:cs="Arial"/>
          <w:i/>
          <w:sz w:val="22"/>
          <w:szCs w:val="22"/>
        </w:rPr>
        <w:t>?</w:t>
      </w:r>
      <w:proofErr w:type="gramEnd"/>
      <w:r w:rsidRPr="00EB6DF3">
        <w:rPr>
          <w:rFonts w:ascii="Arial" w:hAnsi="Arial" w:cs="Arial"/>
          <w:i/>
          <w:sz w:val="22"/>
          <w:szCs w:val="22"/>
        </w:rPr>
        <w:t xml:space="preserve"> O hace referencia a la normatividad descrita en el artículo 2.6.2.4</w:t>
      </w:r>
      <w:proofErr w:type="gramStart"/>
      <w:r w:rsidRPr="00EB6DF3">
        <w:rPr>
          <w:rFonts w:ascii="Arial" w:hAnsi="Arial" w:cs="Arial"/>
          <w:i/>
          <w:sz w:val="22"/>
          <w:szCs w:val="22"/>
        </w:rPr>
        <w:t>?</w:t>
      </w:r>
      <w:proofErr w:type="gramEnd"/>
      <w:r w:rsidRPr="00EB6DF3">
        <w:rPr>
          <w:rFonts w:ascii="Arial" w:hAnsi="Arial" w:cs="Arial"/>
          <w:sz w:val="22"/>
          <w:szCs w:val="22"/>
        </w:rPr>
        <w:t>”</w:t>
      </w:r>
    </w:p>
    <w:p w14:paraId="2A55F953" w14:textId="77777777" w:rsidR="00453BEA" w:rsidRDefault="00453BEA" w:rsidP="00453BEA">
      <w:pPr>
        <w:pStyle w:val="Prrafodelista"/>
        <w:suppressAutoHyphens/>
        <w:ind w:left="426"/>
        <w:jc w:val="both"/>
        <w:rPr>
          <w:rFonts w:ascii="Arial" w:hAnsi="Arial" w:cs="Arial"/>
          <w:b/>
          <w:sz w:val="22"/>
          <w:szCs w:val="22"/>
        </w:rPr>
      </w:pPr>
    </w:p>
    <w:p w14:paraId="528043C7" w14:textId="13272848" w:rsidR="00EB6DF3" w:rsidRDefault="00EB6DF3" w:rsidP="00EB6DF3">
      <w:pPr>
        <w:suppressAutoHyphens/>
        <w:ind w:left="720"/>
        <w:jc w:val="both"/>
        <w:rPr>
          <w:rFonts w:ascii="Arial" w:hAnsi="Arial" w:cs="Arial"/>
          <w:sz w:val="22"/>
          <w:szCs w:val="22"/>
        </w:rPr>
      </w:pPr>
      <w:r>
        <w:rPr>
          <w:rFonts w:ascii="Arial" w:hAnsi="Arial" w:cs="Arial"/>
          <w:sz w:val="22"/>
          <w:szCs w:val="22"/>
        </w:rPr>
        <w:t xml:space="preserve">Respuesta: </w:t>
      </w:r>
      <w:r w:rsidRPr="00EB6DF3">
        <w:rPr>
          <w:rFonts w:ascii="Arial" w:hAnsi="Arial" w:cs="Arial"/>
          <w:sz w:val="22"/>
          <w:szCs w:val="22"/>
        </w:rPr>
        <w:t xml:space="preserve">El detalle de la información requerido para ser tenedor se establecerá en los términos de referencia y protocolos de conformidad con el art. 2.6.1.7. </w:t>
      </w:r>
      <w:proofErr w:type="gramStart"/>
      <w:r w:rsidRPr="00EB6DF3">
        <w:rPr>
          <w:rFonts w:ascii="Arial" w:hAnsi="Arial" w:cs="Arial"/>
          <w:sz w:val="22"/>
          <w:szCs w:val="22"/>
        </w:rPr>
        <w:t>parágrafo</w:t>
      </w:r>
      <w:proofErr w:type="gramEnd"/>
      <w:r w:rsidRPr="00EB6DF3">
        <w:rPr>
          <w:rFonts w:ascii="Arial" w:hAnsi="Arial" w:cs="Arial"/>
          <w:sz w:val="22"/>
          <w:szCs w:val="22"/>
        </w:rPr>
        <w:t xml:space="preserve"> 2.</w:t>
      </w:r>
    </w:p>
    <w:p w14:paraId="1F26BA08" w14:textId="77777777" w:rsidR="00EB6DF3" w:rsidRDefault="00EB6DF3" w:rsidP="00453BEA">
      <w:pPr>
        <w:pStyle w:val="Prrafodelista"/>
        <w:suppressAutoHyphens/>
        <w:ind w:left="426"/>
        <w:jc w:val="both"/>
        <w:rPr>
          <w:rFonts w:ascii="Arial" w:hAnsi="Arial" w:cs="Arial"/>
          <w:b/>
          <w:sz w:val="22"/>
          <w:szCs w:val="22"/>
        </w:rPr>
      </w:pPr>
    </w:p>
    <w:p w14:paraId="433CFE7D" w14:textId="77777777" w:rsidR="00EB6DF3" w:rsidRPr="00EB6DF3" w:rsidRDefault="00EB6DF3" w:rsidP="00EB6DF3">
      <w:pPr>
        <w:pStyle w:val="Prrafodelista"/>
        <w:numPr>
          <w:ilvl w:val="1"/>
          <w:numId w:val="43"/>
        </w:numPr>
        <w:suppressAutoHyphens/>
        <w:jc w:val="both"/>
        <w:rPr>
          <w:rFonts w:ascii="Arial" w:hAnsi="Arial" w:cs="Arial"/>
          <w:i/>
          <w:sz w:val="22"/>
          <w:szCs w:val="22"/>
        </w:rPr>
      </w:pPr>
      <w:r>
        <w:rPr>
          <w:rFonts w:ascii="Arial" w:hAnsi="Arial" w:cs="Arial"/>
          <w:sz w:val="22"/>
          <w:szCs w:val="22"/>
        </w:rPr>
        <w:lastRenderedPageBreak/>
        <w:t>Artículo 2.6.2.8. – “</w:t>
      </w:r>
      <w:r w:rsidRPr="00EB6DF3">
        <w:rPr>
          <w:rFonts w:ascii="Arial" w:hAnsi="Arial" w:cs="Arial"/>
          <w:i/>
          <w:sz w:val="22"/>
          <w:szCs w:val="22"/>
        </w:rPr>
        <w:t xml:space="preserve">Se debe dar claridad al término de tiempo en el cual el ICANH fijará los aspectos técnicos generales para la autorización de salida del país de bienes de patrimonio arqueológico. </w:t>
      </w:r>
    </w:p>
    <w:p w14:paraId="15FBDD0D" w14:textId="77777777" w:rsidR="00EB6DF3" w:rsidRPr="00EB6DF3" w:rsidRDefault="00EB6DF3" w:rsidP="00EB6DF3">
      <w:pPr>
        <w:pStyle w:val="Prrafodelista"/>
        <w:suppressAutoHyphens/>
        <w:ind w:left="1440"/>
        <w:jc w:val="both"/>
        <w:rPr>
          <w:rFonts w:ascii="Arial" w:hAnsi="Arial" w:cs="Arial"/>
          <w:i/>
          <w:sz w:val="22"/>
          <w:szCs w:val="22"/>
        </w:rPr>
      </w:pPr>
    </w:p>
    <w:p w14:paraId="604114FE" w14:textId="0F401EAD" w:rsidR="00EB6DF3" w:rsidRDefault="00EB6DF3" w:rsidP="00EB6DF3">
      <w:pPr>
        <w:pStyle w:val="Prrafodelista"/>
        <w:suppressAutoHyphens/>
        <w:ind w:left="1440"/>
        <w:jc w:val="both"/>
        <w:rPr>
          <w:rFonts w:ascii="Arial" w:hAnsi="Arial" w:cs="Arial"/>
          <w:b/>
          <w:sz w:val="22"/>
          <w:szCs w:val="22"/>
        </w:rPr>
      </w:pPr>
      <w:r w:rsidRPr="00EB6DF3">
        <w:rPr>
          <w:rFonts w:ascii="Arial" w:hAnsi="Arial" w:cs="Arial"/>
          <w:i/>
          <w:sz w:val="22"/>
          <w:szCs w:val="22"/>
        </w:rPr>
        <w:t>No es claro cuáles son los aspectos técnicos ni el término en el que estos se fijarán</w:t>
      </w:r>
      <w:r>
        <w:rPr>
          <w:rFonts w:ascii="Arial" w:hAnsi="Arial" w:cs="Arial"/>
          <w:sz w:val="22"/>
          <w:szCs w:val="22"/>
        </w:rPr>
        <w:t>”</w:t>
      </w:r>
      <w:r w:rsidRPr="00EB6DF3">
        <w:rPr>
          <w:rFonts w:ascii="Arial" w:hAnsi="Arial" w:cs="Arial"/>
          <w:sz w:val="22"/>
          <w:szCs w:val="22"/>
        </w:rPr>
        <w:t>.</w:t>
      </w:r>
    </w:p>
    <w:p w14:paraId="2BBB7B91" w14:textId="77777777" w:rsidR="00EB6DF3" w:rsidRDefault="00EB6DF3" w:rsidP="00453BEA">
      <w:pPr>
        <w:pStyle w:val="Prrafodelista"/>
        <w:suppressAutoHyphens/>
        <w:ind w:left="426"/>
        <w:jc w:val="both"/>
        <w:rPr>
          <w:rFonts w:ascii="Arial" w:hAnsi="Arial" w:cs="Arial"/>
          <w:b/>
          <w:sz w:val="22"/>
          <w:szCs w:val="22"/>
        </w:rPr>
      </w:pPr>
    </w:p>
    <w:p w14:paraId="67B64E7D" w14:textId="679BB44F" w:rsidR="00EB6DF3" w:rsidRDefault="00EB6DF3" w:rsidP="00EB6DF3">
      <w:pPr>
        <w:suppressAutoHyphens/>
        <w:ind w:left="720"/>
        <w:jc w:val="both"/>
        <w:rPr>
          <w:rFonts w:ascii="Arial" w:hAnsi="Arial" w:cs="Arial"/>
          <w:sz w:val="22"/>
          <w:szCs w:val="22"/>
        </w:rPr>
      </w:pPr>
      <w:r>
        <w:rPr>
          <w:rFonts w:ascii="Arial" w:hAnsi="Arial" w:cs="Arial"/>
          <w:sz w:val="22"/>
          <w:szCs w:val="22"/>
        </w:rPr>
        <w:t xml:space="preserve">Respuesta: </w:t>
      </w:r>
      <w:r w:rsidRPr="00EB6DF3">
        <w:rPr>
          <w:rFonts w:ascii="Arial" w:hAnsi="Arial" w:cs="Arial"/>
          <w:sz w:val="22"/>
          <w:szCs w:val="22"/>
        </w:rPr>
        <w:t xml:space="preserve">El detalle de la información requerida para la autorización de salida  del país de los bienes de patrimonio arqueológico se precisará posteriormente de conformidad con el art. 2.6.1.7. </w:t>
      </w:r>
      <w:proofErr w:type="gramStart"/>
      <w:r w:rsidRPr="00EB6DF3">
        <w:rPr>
          <w:rFonts w:ascii="Arial" w:hAnsi="Arial" w:cs="Arial"/>
          <w:sz w:val="22"/>
          <w:szCs w:val="22"/>
        </w:rPr>
        <w:t>parágrafo</w:t>
      </w:r>
      <w:proofErr w:type="gramEnd"/>
      <w:r w:rsidRPr="00EB6DF3">
        <w:rPr>
          <w:rFonts w:ascii="Arial" w:hAnsi="Arial" w:cs="Arial"/>
          <w:sz w:val="22"/>
          <w:szCs w:val="22"/>
        </w:rPr>
        <w:t xml:space="preserve"> 2.</w:t>
      </w:r>
    </w:p>
    <w:p w14:paraId="5B612F23" w14:textId="77777777" w:rsidR="00EB6DF3" w:rsidRDefault="00EB6DF3" w:rsidP="00EB6DF3">
      <w:pPr>
        <w:suppressAutoHyphens/>
        <w:ind w:left="720"/>
        <w:jc w:val="both"/>
        <w:rPr>
          <w:rFonts w:ascii="Arial" w:hAnsi="Arial" w:cs="Arial"/>
          <w:sz w:val="22"/>
          <w:szCs w:val="22"/>
        </w:rPr>
      </w:pPr>
    </w:p>
    <w:p w14:paraId="3A5A35E5" w14:textId="4BC8A2AD" w:rsidR="00EB6DF3" w:rsidRDefault="00EB6DF3" w:rsidP="00EB6DF3">
      <w:pPr>
        <w:pStyle w:val="Prrafodelista"/>
        <w:numPr>
          <w:ilvl w:val="1"/>
          <w:numId w:val="43"/>
        </w:numPr>
        <w:suppressAutoHyphens/>
        <w:jc w:val="both"/>
        <w:rPr>
          <w:rFonts w:ascii="Arial" w:hAnsi="Arial" w:cs="Arial"/>
          <w:sz w:val="22"/>
          <w:szCs w:val="22"/>
        </w:rPr>
      </w:pPr>
      <w:r>
        <w:rPr>
          <w:rFonts w:ascii="Arial" w:hAnsi="Arial" w:cs="Arial"/>
          <w:sz w:val="22"/>
          <w:szCs w:val="22"/>
        </w:rPr>
        <w:t>Artículo 2.6.5.4.– “</w:t>
      </w:r>
      <w:r w:rsidRPr="00104530">
        <w:rPr>
          <w:rFonts w:ascii="Arial" w:hAnsi="Arial" w:cs="Arial"/>
          <w:i/>
          <w:sz w:val="22"/>
          <w:szCs w:val="22"/>
        </w:rPr>
        <w:t xml:space="preserve">Con el fin de no dar cabida a interpretaciones, se considera necesario establecer cuál es la información mínima que debe ser presentada, ya que tal y como esta podría prestarse para discrecionalidades del profesional que realice la evaluación. De igual manera determinar si la caracterización hace referencia a una caracterización, biótica, abiótica, social, económica, </w:t>
      </w:r>
      <w:proofErr w:type="spellStart"/>
      <w:r w:rsidRPr="00104530">
        <w:rPr>
          <w:rFonts w:ascii="Arial" w:hAnsi="Arial" w:cs="Arial"/>
          <w:i/>
          <w:sz w:val="22"/>
          <w:szCs w:val="22"/>
        </w:rPr>
        <w:t>e</w:t>
      </w:r>
      <w:r>
        <w:rPr>
          <w:rFonts w:ascii="Arial" w:hAnsi="Arial" w:cs="Arial"/>
          <w:sz w:val="22"/>
          <w:szCs w:val="22"/>
        </w:rPr>
        <w:t>tc</w:t>
      </w:r>
      <w:proofErr w:type="spellEnd"/>
      <w:r>
        <w:rPr>
          <w:rFonts w:ascii="Arial" w:hAnsi="Arial" w:cs="Arial"/>
          <w:sz w:val="22"/>
          <w:szCs w:val="22"/>
        </w:rPr>
        <w:t>”.</w:t>
      </w:r>
    </w:p>
    <w:p w14:paraId="0D8BEB25" w14:textId="77777777" w:rsidR="00EB6DF3" w:rsidRDefault="00EB6DF3" w:rsidP="00EB6DF3">
      <w:pPr>
        <w:pStyle w:val="Prrafodelista"/>
        <w:suppressAutoHyphens/>
        <w:ind w:left="1440"/>
        <w:jc w:val="both"/>
        <w:rPr>
          <w:rFonts w:ascii="Arial" w:hAnsi="Arial" w:cs="Arial"/>
          <w:sz w:val="22"/>
          <w:szCs w:val="22"/>
        </w:rPr>
      </w:pPr>
    </w:p>
    <w:p w14:paraId="5F48FF8A" w14:textId="1D42F49F" w:rsidR="00EB6DF3" w:rsidRDefault="00EB6DF3" w:rsidP="00EB6DF3">
      <w:pPr>
        <w:suppressAutoHyphens/>
        <w:ind w:left="720"/>
        <w:jc w:val="both"/>
        <w:rPr>
          <w:rFonts w:ascii="Arial" w:hAnsi="Arial" w:cs="Arial"/>
          <w:sz w:val="22"/>
          <w:szCs w:val="22"/>
        </w:rPr>
      </w:pPr>
      <w:r>
        <w:rPr>
          <w:rFonts w:ascii="Arial" w:hAnsi="Arial" w:cs="Arial"/>
          <w:sz w:val="22"/>
          <w:szCs w:val="22"/>
        </w:rPr>
        <w:t xml:space="preserve">Respuesta: </w:t>
      </w:r>
      <w:r w:rsidRPr="00EB6DF3">
        <w:rPr>
          <w:rFonts w:ascii="Arial" w:hAnsi="Arial" w:cs="Arial"/>
          <w:sz w:val="22"/>
          <w:szCs w:val="22"/>
        </w:rPr>
        <w:t>El detalle de la información requerida para el Registro se establecerá en los términos de referencia y protocolos que regulen el trámite del Programa de Arqueología Preventiva en un plazo no mayor de seis (06) meses.</w:t>
      </w:r>
    </w:p>
    <w:p w14:paraId="6B1599D4" w14:textId="77777777" w:rsidR="00EB6DF3" w:rsidRPr="00EB6DF3" w:rsidRDefault="00EB6DF3" w:rsidP="00EB6DF3">
      <w:pPr>
        <w:pStyle w:val="Prrafodelista"/>
        <w:suppressAutoHyphens/>
        <w:ind w:left="1440"/>
        <w:jc w:val="both"/>
        <w:rPr>
          <w:rFonts w:ascii="Arial" w:hAnsi="Arial" w:cs="Arial"/>
          <w:sz w:val="22"/>
          <w:szCs w:val="22"/>
        </w:rPr>
      </w:pPr>
    </w:p>
    <w:p w14:paraId="731C7359" w14:textId="77777777" w:rsidR="00EB6DF3" w:rsidRPr="00EB6DF3" w:rsidRDefault="00EB6DF3" w:rsidP="00EB6DF3">
      <w:pPr>
        <w:pStyle w:val="Prrafodelista"/>
        <w:numPr>
          <w:ilvl w:val="1"/>
          <w:numId w:val="43"/>
        </w:numPr>
        <w:suppressAutoHyphens/>
        <w:jc w:val="both"/>
        <w:rPr>
          <w:rFonts w:ascii="Arial" w:hAnsi="Arial" w:cs="Arial"/>
          <w:i/>
          <w:sz w:val="22"/>
          <w:szCs w:val="22"/>
        </w:rPr>
      </w:pPr>
      <w:r w:rsidRPr="00EB6DF3">
        <w:rPr>
          <w:rFonts w:ascii="Arial" w:hAnsi="Arial" w:cs="Arial"/>
          <w:sz w:val="22"/>
          <w:szCs w:val="22"/>
        </w:rPr>
        <w:t>Artículo 2.6.5.5. – “</w:t>
      </w:r>
      <w:r w:rsidRPr="00EB6DF3">
        <w:rPr>
          <w:rFonts w:ascii="Arial" w:hAnsi="Arial" w:cs="Arial"/>
          <w:i/>
          <w:sz w:val="22"/>
          <w:szCs w:val="22"/>
        </w:rPr>
        <w:t xml:space="preserve">Se debe aclarar si  los Términos de Referencia mencionados serán particulares para cada proyecto o se emitirán </w:t>
      </w:r>
      <w:proofErr w:type="spellStart"/>
      <w:r w:rsidRPr="00EB6DF3">
        <w:rPr>
          <w:rFonts w:ascii="Arial" w:hAnsi="Arial" w:cs="Arial"/>
          <w:i/>
          <w:sz w:val="22"/>
          <w:szCs w:val="22"/>
        </w:rPr>
        <w:t>TdR</w:t>
      </w:r>
      <w:proofErr w:type="spellEnd"/>
      <w:r w:rsidRPr="00EB6DF3">
        <w:rPr>
          <w:rFonts w:ascii="Arial" w:hAnsi="Arial" w:cs="Arial"/>
          <w:i/>
          <w:sz w:val="22"/>
          <w:szCs w:val="22"/>
        </w:rPr>
        <w:t xml:space="preserve"> generales según la tipología de proyectos, es decir en línea con los </w:t>
      </w:r>
      <w:proofErr w:type="spellStart"/>
      <w:r w:rsidRPr="00EB6DF3">
        <w:rPr>
          <w:rFonts w:ascii="Arial" w:hAnsi="Arial" w:cs="Arial"/>
          <w:i/>
          <w:sz w:val="22"/>
          <w:szCs w:val="22"/>
        </w:rPr>
        <w:t>TdR</w:t>
      </w:r>
      <w:proofErr w:type="spellEnd"/>
      <w:r w:rsidRPr="00EB6DF3">
        <w:rPr>
          <w:rFonts w:ascii="Arial" w:hAnsi="Arial" w:cs="Arial"/>
          <w:i/>
          <w:sz w:val="22"/>
          <w:szCs w:val="22"/>
        </w:rPr>
        <w:t xml:space="preserve"> que tiene el MADS para las actividades licenciadas</w:t>
      </w:r>
    </w:p>
    <w:p w14:paraId="258217C4" w14:textId="77777777" w:rsidR="00EB6DF3" w:rsidRPr="00EB6DF3" w:rsidRDefault="00EB6DF3" w:rsidP="00EB6DF3">
      <w:pPr>
        <w:pStyle w:val="Prrafodelista"/>
        <w:suppressAutoHyphens/>
        <w:ind w:left="1440"/>
        <w:jc w:val="both"/>
        <w:rPr>
          <w:rFonts w:ascii="Arial" w:hAnsi="Arial" w:cs="Arial"/>
          <w:i/>
          <w:sz w:val="22"/>
          <w:szCs w:val="22"/>
        </w:rPr>
      </w:pPr>
    </w:p>
    <w:p w14:paraId="505AF72E" w14:textId="6F486389" w:rsidR="00EB6DF3" w:rsidRDefault="00EB6DF3" w:rsidP="00EB6DF3">
      <w:pPr>
        <w:pStyle w:val="Prrafodelista"/>
        <w:suppressAutoHyphens/>
        <w:ind w:left="1440"/>
        <w:jc w:val="both"/>
        <w:rPr>
          <w:rFonts w:ascii="Arial" w:hAnsi="Arial" w:cs="Arial"/>
          <w:sz w:val="22"/>
          <w:szCs w:val="22"/>
        </w:rPr>
      </w:pPr>
      <w:r w:rsidRPr="00EB6DF3">
        <w:rPr>
          <w:rFonts w:ascii="Arial" w:hAnsi="Arial" w:cs="Arial"/>
          <w:i/>
          <w:sz w:val="22"/>
          <w:szCs w:val="22"/>
        </w:rPr>
        <w:t>Se debe dar claridad referente al suministro de información a través de un medio idóneo, esto a que hace referencia</w:t>
      </w:r>
      <w:proofErr w:type="gramStart"/>
      <w:r w:rsidRPr="00EB6DF3">
        <w:rPr>
          <w:rFonts w:ascii="Arial" w:hAnsi="Arial" w:cs="Arial"/>
          <w:i/>
          <w:sz w:val="22"/>
          <w:szCs w:val="22"/>
        </w:rPr>
        <w:t>?</w:t>
      </w:r>
      <w:proofErr w:type="gramEnd"/>
      <w:r w:rsidRPr="00EB6DF3">
        <w:rPr>
          <w:rFonts w:ascii="Arial" w:hAnsi="Arial" w:cs="Arial"/>
          <w:i/>
          <w:sz w:val="22"/>
          <w:szCs w:val="22"/>
        </w:rPr>
        <w:t xml:space="preserve"> A que se refiere a medio idóneo</w:t>
      </w:r>
      <w:proofErr w:type="gramStart"/>
      <w:r w:rsidRPr="00EB6DF3">
        <w:rPr>
          <w:rFonts w:ascii="Arial" w:hAnsi="Arial" w:cs="Arial"/>
          <w:i/>
          <w:sz w:val="22"/>
          <w:szCs w:val="22"/>
        </w:rPr>
        <w:t>?</w:t>
      </w:r>
      <w:proofErr w:type="gramEnd"/>
      <w:r w:rsidRPr="00EB6DF3">
        <w:rPr>
          <w:rFonts w:ascii="Arial" w:hAnsi="Arial" w:cs="Arial"/>
          <w:i/>
          <w:sz w:val="22"/>
          <w:szCs w:val="22"/>
        </w:rPr>
        <w:t xml:space="preserve"> Se establece una frecuencia o periodicidad para el suministro de información</w:t>
      </w:r>
      <w:proofErr w:type="gramStart"/>
      <w:r w:rsidRPr="00EB6DF3">
        <w:rPr>
          <w:rFonts w:ascii="Arial" w:hAnsi="Arial" w:cs="Arial"/>
          <w:i/>
          <w:sz w:val="22"/>
          <w:szCs w:val="22"/>
        </w:rPr>
        <w:t>?</w:t>
      </w:r>
      <w:proofErr w:type="gramEnd"/>
      <w:r w:rsidRPr="00EB6DF3">
        <w:rPr>
          <w:rFonts w:ascii="Arial" w:hAnsi="Arial" w:cs="Arial"/>
          <w:sz w:val="22"/>
          <w:szCs w:val="22"/>
        </w:rPr>
        <w:t>”</w:t>
      </w:r>
    </w:p>
    <w:p w14:paraId="418725DA" w14:textId="77777777" w:rsidR="00EB6DF3" w:rsidRPr="00EB6DF3" w:rsidRDefault="00EB6DF3" w:rsidP="00EB6DF3">
      <w:pPr>
        <w:pStyle w:val="Prrafodelista"/>
        <w:suppressAutoHyphens/>
        <w:ind w:left="1440"/>
        <w:jc w:val="both"/>
        <w:rPr>
          <w:rFonts w:ascii="Arial" w:hAnsi="Arial" w:cs="Arial"/>
          <w:sz w:val="22"/>
          <w:szCs w:val="22"/>
        </w:rPr>
      </w:pPr>
    </w:p>
    <w:p w14:paraId="35D21D15" w14:textId="77777777" w:rsidR="00EB6DF3" w:rsidRDefault="00EB6DF3" w:rsidP="00EB6DF3">
      <w:pPr>
        <w:pStyle w:val="Prrafodelista"/>
        <w:suppressAutoHyphens/>
        <w:jc w:val="both"/>
        <w:rPr>
          <w:rFonts w:ascii="Arial" w:hAnsi="Arial" w:cs="Arial"/>
          <w:sz w:val="22"/>
          <w:szCs w:val="22"/>
        </w:rPr>
      </w:pPr>
      <w:r w:rsidRPr="00EB6DF3">
        <w:rPr>
          <w:rFonts w:ascii="Arial" w:hAnsi="Arial" w:cs="Arial"/>
          <w:sz w:val="22"/>
          <w:szCs w:val="22"/>
        </w:rPr>
        <w:t>Respuesta: El detalle de la información  se establecerá en los términos de referencia, procedimientos y  protocolos que regulen el trámite del Programa de Arqueología Preventiva en un plazo no mayor de seis (06) meses, cuya competencia por ley está en cabeza del ICANH.</w:t>
      </w:r>
    </w:p>
    <w:p w14:paraId="54BCCEAB" w14:textId="77777777" w:rsidR="00EB6DF3" w:rsidRPr="00EB6DF3" w:rsidRDefault="00EB6DF3" w:rsidP="00EB6DF3">
      <w:pPr>
        <w:pStyle w:val="Prrafodelista"/>
        <w:suppressAutoHyphens/>
        <w:jc w:val="both"/>
        <w:rPr>
          <w:rFonts w:ascii="Arial" w:hAnsi="Arial" w:cs="Arial"/>
          <w:sz w:val="22"/>
          <w:szCs w:val="22"/>
        </w:rPr>
      </w:pPr>
    </w:p>
    <w:p w14:paraId="17BCB3C4" w14:textId="3CCBC054" w:rsidR="00EB6DF3" w:rsidRDefault="00EB6DF3" w:rsidP="00EB6DF3">
      <w:pPr>
        <w:pStyle w:val="Prrafodelista"/>
        <w:suppressAutoHyphens/>
        <w:jc w:val="both"/>
        <w:rPr>
          <w:rFonts w:ascii="Arial" w:hAnsi="Arial" w:cs="Arial"/>
          <w:sz w:val="22"/>
          <w:szCs w:val="22"/>
        </w:rPr>
      </w:pPr>
      <w:r w:rsidRPr="00EB6DF3">
        <w:rPr>
          <w:rFonts w:ascii="Arial" w:hAnsi="Arial" w:cs="Arial"/>
          <w:sz w:val="22"/>
          <w:szCs w:val="22"/>
        </w:rPr>
        <w:t xml:space="preserve">El medio idóneo es la plataforma que dispondrá el ICANH. El suministro de la información es </w:t>
      </w:r>
      <w:r w:rsidRPr="00EB6DF3">
        <w:rPr>
          <w:rFonts w:ascii="Arial" w:hAnsi="Arial" w:cs="Arial"/>
          <w:sz w:val="22"/>
          <w:szCs w:val="22"/>
        </w:rPr>
        <w:t>voluntario</w:t>
      </w:r>
      <w:r w:rsidRPr="00EB6DF3">
        <w:rPr>
          <w:rFonts w:ascii="Arial" w:hAnsi="Arial" w:cs="Arial"/>
          <w:sz w:val="22"/>
          <w:szCs w:val="22"/>
        </w:rPr>
        <w:t xml:space="preserve"> y busca guiar al usuario durante esa etapa, no obstante, el suministro completo de la información solo es obligatorio para la presentación del Plan de Manejo Arqueológico.</w:t>
      </w:r>
    </w:p>
    <w:p w14:paraId="6F9E23D7" w14:textId="77777777" w:rsidR="00EB6DF3" w:rsidRDefault="00EB6DF3" w:rsidP="00EB6DF3">
      <w:pPr>
        <w:pStyle w:val="Prrafodelista"/>
        <w:suppressAutoHyphens/>
        <w:jc w:val="both"/>
        <w:rPr>
          <w:rFonts w:ascii="Arial" w:hAnsi="Arial" w:cs="Arial"/>
          <w:sz w:val="22"/>
          <w:szCs w:val="22"/>
        </w:rPr>
      </w:pPr>
    </w:p>
    <w:p w14:paraId="20D1DA55" w14:textId="51950B83" w:rsidR="00EB6DF3" w:rsidRDefault="00EB6DF3" w:rsidP="00EB6DF3">
      <w:pPr>
        <w:pStyle w:val="Prrafodelista"/>
        <w:numPr>
          <w:ilvl w:val="1"/>
          <w:numId w:val="43"/>
        </w:numPr>
        <w:suppressAutoHyphens/>
        <w:jc w:val="both"/>
        <w:rPr>
          <w:rFonts w:ascii="Arial" w:hAnsi="Arial" w:cs="Arial"/>
          <w:sz w:val="22"/>
          <w:szCs w:val="22"/>
        </w:rPr>
      </w:pPr>
      <w:r>
        <w:rPr>
          <w:rFonts w:ascii="Arial" w:hAnsi="Arial" w:cs="Arial"/>
          <w:sz w:val="22"/>
          <w:szCs w:val="22"/>
        </w:rPr>
        <w:t>Artículo 2.6.5.8. – “</w:t>
      </w:r>
      <w:r w:rsidRPr="00104530">
        <w:rPr>
          <w:rFonts w:ascii="Arial" w:hAnsi="Arial" w:cs="Arial"/>
          <w:i/>
          <w:sz w:val="22"/>
          <w:szCs w:val="22"/>
        </w:rPr>
        <w:t>Se debe dar claridad al alcance de la fase de la arqueología pública. El conjunto de actividades a que hace referencia</w:t>
      </w:r>
      <w:proofErr w:type="gramStart"/>
      <w:r w:rsidRPr="00104530">
        <w:rPr>
          <w:rFonts w:ascii="Arial" w:hAnsi="Arial" w:cs="Arial"/>
          <w:i/>
          <w:sz w:val="22"/>
          <w:szCs w:val="22"/>
        </w:rPr>
        <w:t>?</w:t>
      </w:r>
      <w:proofErr w:type="gramEnd"/>
      <w:r w:rsidRPr="00104530">
        <w:rPr>
          <w:rFonts w:ascii="Arial" w:hAnsi="Arial" w:cs="Arial"/>
          <w:i/>
          <w:sz w:val="22"/>
          <w:szCs w:val="22"/>
        </w:rPr>
        <w:t xml:space="preserve"> El </w:t>
      </w:r>
      <w:r w:rsidRPr="00104530">
        <w:rPr>
          <w:rFonts w:ascii="Arial" w:hAnsi="Arial" w:cs="Arial"/>
          <w:i/>
          <w:sz w:val="22"/>
          <w:szCs w:val="22"/>
        </w:rPr>
        <w:lastRenderedPageBreak/>
        <w:t>alcance de la arqueología pública estará determinado por igual para todos los proyectos</w:t>
      </w:r>
      <w:proofErr w:type="gramStart"/>
      <w:r w:rsidRPr="00104530">
        <w:rPr>
          <w:rFonts w:ascii="Arial" w:hAnsi="Arial" w:cs="Arial"/>
          <w:i/>
          <w:sz w:val="22"/>
          <w:szCs w:val="22"/>
        </w:rPr>
        <w:t>?</w:t>
      </w:r>
      <w:proofErr w:type="gramEnd"/>
      <w:r w:rsidRPr="00104530">
        <w:rPr>
          <w:rFonts w:ascii="Arial" w:hAnsi="Arial" w:cs="Arial"/>
          <w:i/>
          <w:sz w:val="22"/>
          <w:szCs w:val="22"/>
        </w:rPr>
        <w:t xml:space="preserve"> Existe un mínimo de actividades para el cumplimiento de la arqueología pública</w:t>
      </w:r>
      <w:proofErr w:type="gramStart"/>
      <w:r w:rsidRPr="00104530">
        <w:rPr>
          <w:rFonts w:ascii="Arial" w:hAnsi="Arial" w:cs="Arial"/>
          <w:i/>
          <w:sz w:val="22"/>
          <w:szCs w:val="22"/>
        </w:rPr>
        <w:t>?</w:t>
      </w:r>
      <w:proofErr w:type="gramEnd"/>
      <w:r>
        <w:rPr>
          <w:rFonts w:ascii="Arial" w:hAnsi="Arial" w:cs="Arial"/>
          <w:sz w:val="22"/>
          <w:szCs w:val="22"/>
        </w:rPr>
        <w:t>”</w:t>
      </w:r>
    </w:p>
    <w:p w14:paraId="15A9901E" w14:textId="77777777" w:rsidR="00EB6DF3" w:rsidRPr="00EB6DF3" w:rsidRDefault="00EB6DF3" w:rsidP="00EB6DF3">
      <w:pPr>
        <w:suppressAutoHyphens/>
        <w:jc w:val="both"/>
        <w:rPr>
          <w:rFonts w:ascii="Arial" w:hAnsi="Arial" w:cs="Arial"/>
          <w:sz w:val="22"/>
          <w:szCs w:val="22"/>
        </w:rPr>
      </w:pPr>
    </w:p>
    <w:p w14:paraId="5CB678C8" w14:textId="74F27928" w:rsidR="00EB6DF3" w:rsidRDefault="00EB6DF3" w:rsidP="00EB6DF3">
      <w:pPr>
        <w:pStyle w:val="Prrafodelista"/>
        <w:suppressAutoHyphens/>
        <w:jc w:val="both"/>
        <w:rPr>
          <w:rFonts w:ascii="Arial" w:hAnsi="Arial" w:cs="Arial"/>
          <w:sz w:val="22"/>
          <w:szCs w:val="22"/>
        </w:rPr>
      </w:pPr>
      <w:r w:rsidRPr="00EB6DF3">
        <w:rPr>
          <w:rFonts w:ascii="Arial" w:hAnsi="Arial" w:cs="Arial"/>
          <w:sz w:val="22"/>
          <w:szCs w:val="22"/>
        </w:rPr>
        <w:t xml:space="preserve">Respuesta: </w:t>
      </w:r>
      <w:r w:rsidRPr="00EB6DF3">
        <w:rPr>
          <w:rFonts w:ascii="Arial" w:hAnsi="Arial" w:cs="Arial"/>
          <w:sz w:val="22"/>
          <w:szCs w:val="22"/>
        </w:rPr>
        <w:t>La mayor claridad sobre el alcance de la fase de arqueología pública se dará en el "Protocolo de manejo de bienes arqueológicos", así como en los términos de referencias y procedimientos que regulen el Programa de Arqueología pública.</w:t>
      </w:r>
    </w:p>
    <w:p w14:paraId="471F77C7" w14:textId="77777777" w:rsidR="00EB6DF3" w:rsidRDefault="00EB6DF3" w:rsidP="00EB6DF3">
      <w:pPr>
        <w:pStyle w:val="Prrafodelista"/>
        <w:suppressAutoHyphens/>
        <w:jc w:val="both"/>
        <w:rPr>
          <w:rFonts w:ascii="Arial" w:hAnsi="Arial" w:cs="Arial"/>
          <w:b/>
          <w:sz w:val="22"/>
          <w:szCs w:val="22"/>
        </w:rPr>
      </w:pPr>
    </w:p>
    <w:p w14:paraId="4CC975BA" w14:textId="77777777" w:rsidR="00EB6DF3" w:rsidRDefault="00EB6DF3" w:rsidP="00453BEA">
      <w:pPr>
        <w:pStyle w:val="Prrafodelista"/>
        <w:suppressAutoHyphens/>
        <w:ind w:left="426"/>
        <w:jc w:val="both"/>
        <w:rPr>
          <w:rFonts w:ascii="Arial" w:hAnsi="Arial" w:cs="Arial"/>
          <w:b/>
          <w:sz w:val="22"/>
          <w:szCs w:val="22"/>
        </w:rPr>
      </w:pPr>
    </w:p>
    <w:p w14:paraId="6883A0EE" w14:textId="3C3CACA4" w:rsidR="00445771" w:rsidRPr="00445771" w:rsidRDefault="00453BEA" w:rsidP="00445771">
      <w:pPr>
        <w:pStyle w:val="Prrafodelista"/>
        <w:numPr>
          <w:ilvl w:val="0"/>
          <w:numId w:val="43"/>
        </w:numPr>
        <w:suppressAutoHyphens/>
        <w:ind w:left="426" w:hanging="426"/>
        <w:jc w:val="both"/>
        <w:rPr>
          <w:rFonts w:ascii="Arial" w:hAnsi="Arial" w:cs="Arial"/>
          <w:b/>
          <w:sz w:val="22"/>
          <w:szCs w:val="22"/>
        </w:rPr>
      </w:pPr>
      <w:r>
        <w:rPr>
          <w:rFonts w:ascii="Arial" w:hAnsi="Arial" w:cs="Arial"/>
          <w:b/>
          <w:sz w:val="22"/>
          <w:szCs w:val="22"/>
        </w:rPr>
        <w:t>Sobre el término para expedir lineamientos específicos y protocolos</w:t>
      </w:r>
    </w:p>
    <w:p w14:paraId="009B30C5" w14:textId="77777777" w:rsidR="00445771" w:rsidRDefault="00445771" w:rsidP="00445771">
      <w:pPr>
        <w:suppressAutoHyphens/>
        <w:jc w:val="both"/>
        <w:rPr>
          <w:rFonts w:ascii="Arial" w:hAnsi="Arial" w:cs="Arial"/>
          <w:sz w:val="22"/>
          <w:szCs w:val="22"/>
        </w:rPr>
      </w:pPr>
    </w:p>
    <w:p w14:paraId="03FA593B" w14:textId="5FA003BB" w:rsidR="00445771" w:rsidRDefault="00445771" w:rsidP="00445771">
      <w:pPr>
        <w:pStyle w:val="Prrafodelista"/>
        <w:numPr>
          <w:ilvl w:val="1"/>
          <w:numId w:val="43"/>
        </w:numPr>
        <w:suppressAutoHyphens/>
        <w:jc w:val="both"/>
        <w:rPr>
          <w:rFonts w:ascii="Arial" w:hAnsi="Arial" w:cs="Arial"/>
          <w:sz w:val="22"/>
          <w:szCs w:val="22"/>
        </w:rPr>
      </w:pPr>
      <w:r w:rsidRPr="00104530">
        <w:rPr>
          <w:rFonts w:ascii="Arial" w:hAnsi="Arial" w:cs="Arial"/>
          <w:i/>
          <w:sz w:val="22"/>
          <w:szCs w:val="22"/>
        </w:rPr>
        <w:t>Para la elaboración de documentos que incluyan informes, análisis y recomendaciones sobre los asuntos que se sometan a discusión por parte del Consejo Nacional de Economía Naranja, competencia del despacho del Viceministro de Cultura, se incluyan</w:t>
      </w:r>
      <w:r w:rsidRPr="00445771">
        <w:rPr>
          <w:rFonts w:ascii="Arial" w:hAnsi="Arial" w:cs="Arial"/>
          <w:sz w:val="22"/>
          <w:szCs w:val="22"/>
        </w:rPr>
        <w:t xml:space="preserve"> las entidades adscritas al Ministerio de Cultura en lo de su competencia.</w:t>
      </w:r>
    </w:p>
    <w:p w14:paraId="4E3754AB" w14:textId="77777777" w:rsidR="00445771" w:rsidRDefault="00445771" w:rsidP="00445771">
      <w:pPr>
        <w:suppressAutoHyphens/>
        <w:ind w:left="720"/>
        <w:jc w:val="both"/>
        <w:rPr>
          <w:rFonts w:ascii="Arial" w:hAnsi="Arial" w:cs="Arial"/>
          <w:sz w:val="22"/>
          <w:szCs w:val="22"/>
        </w:rPr>
      </w:pPr>
    </w:p>
    <w:p w14:paraId="4851C6AD" w14:textId="07AE0457" w:rsidR="00445771" w:rsidRDefault="00445771" w:rsidP="00445771">
      <w:pPr>
        <w:suppressAutoHyphens/>
        <w:ind w:left="720"/>
        <w:jc w:val="both"/>
        <w:rPr>
          <w:rFonts w:ascii="Arial" w:hAnsi="Arial" w:cs="Arial"/>
          <w:sz w:val="22"/>
          <w:szCs w:val="22"/>
        </w:rPr>
      </w:pPr>
      <w:r>
        <w:rPr>
          <w:rFonts w:ascii="Arial" w:hAnsi="Arial" w:cs="Arial"/>
          <w:sz w:val="22"/>
          <w:szCs w:val="22"/>
        </w:rPr>
        <w:t xml:space="preserve">Respuesta: </w:t>
      </w:r>
      <w:r w:rsidRPr="00445771">
        <w:rPr>
          <w:rFonts w:ascii="Arial" w:hAnsi="Arial" w:cs="Arial"/>
          <w:sz w:val="22"/>
          <w:szCs w:val="22"/>
        </w:rPr>
        <w:t>Se tendrá en cuenta el comentario para el desarrollo de las funciones de la secretaría técnica del Consejo. Se incluye una función específica para dicho efecto, en cabeza de la Secretaría Técnica.</w:t>
      </w:r>
    </w:p>
    <w:p w14:paraId="7EB7D27C" w14:textId="77777777" w:rsidR="00453BEA" w:rsidRDefault="00453BEA" w:rsidP="00445771">
      <w:pPr>
        <w:suppressAutoHyphens/>
        <w:ind w:left="720"/>
        <w:jc w:val="both"/>
        <w:rPr>
          <w:rFonts w:ascii="Arial" w:hAnsi="Arial" w:cs="Arial"/>
          <w:sz w:val="22"/>
          <w:szCs w:val="22"/>
        </w:rPr>
      </w:pPr>
    </w:p>
    <w:p w14:paraId="6D12E71D" w14:textId="043F1EFE" w:rsidR="00453BEA" w:rsidRPr="00453BEA" w:rsidRDefault="00453BEA" w:rsidP="00453BEA">
      <w:pPr>
        <w:pStyle w:val="Prrafodelista"/>
        <w:numPr>
          <w:ilvl w:val="0"/>
          <w:numId w:val="43"/>
        </w:numPr>
        <w:suppressAutoHyphens/>
        <w:jc w:val="both"/>
        <w:rPr>
          <w:rFonts w:ascii="Arial" w:hAnsi="Arial" w:cs="Arial"/>
          <w:b/>
          <w:sz w:val="22"/>
          <w:szCs w:val="22"/>
        </w:rPr>
      </w:pPr>
      <w:r w:rsidRPr="00453BEA">
        <w:rPr>
          <w:rFonts w:ascii="Arial" w:hAnsi="Arial" w:cs="Arial"/>
          <w:b/>
          <w:sz w:val="22"/>
          <w:szCs w:val="22"/>
        </w:rPr>
        <w:t>Otros</w:t>
      </w:r>
    </w:p>
    <w:p w14:paraId="3384AF20" w14:textId="77777777" w:rsidR="00453BEA" w:rsidRDefault="00453BEA" w:rsidP="00453BEA">
      <w:pPr>
        <w:pStyle w:val="Prrafodelista"/>
        <w:suppressAutoHyphens/>
        <w:jc w:val="both"/>
        <w:rPr>
          <w:rFonts w:ascii="Arial" w:hAnsi="Arial" w:cs="Arial"/>
          <w:sz w:val="22"/>
          <w:szCs w:val="22"/>
        </w:rPr>
      </w:pPr>
    </w:p>
    <w:p w14:paraId="0494AAE1" w14:textId="12713C9C" w:rsidR="00453BEA" w:rsidRPr="00453BEA" w:rsidRDefault="00453BEA" w:rsidP="00453BEA">
      <w:pPr>
        <w:pStyle w:val="Prrafodelista"/>
        <w:numPr>
          <w:ilvl w:val="1"/>
          <w:numId w:val="43"/>
        </w:numPr>
        <w:suppressAutoHyphens/>
        <w:jc w:val="both"/>
        <w:rPr>
          <w:rFonts w:ascii="Arial" w:hAnsi="Arial" w:cs="Arial"/>
          <w:sz w:val="22"/>
          <w:szCs w:val="22"/>
        </w:rPr>
      </w:pPr>
      <w:r>
        <w:rPr>
          <w:rFonts w:ascii="Arial" w:hAnsi="Arial" w:cs="Arial"/>
          <w:sz w:val="22"/>
          <w:szCs w:val="22"/>
        </w:rPr>
        <w:t>Artículo 2.6.2.2. “</w:t>
      </w:r>
      <w:r w:rsidRPr="00453BEA">
        <w:rPr>
          <w:rFonts w:ascii="Arial" w:hAnsi="Arial" w:cs="Arial"/>
          <w:i/>
          <w:sz w:val="22"/>
          <w:szCs w:val="22"/>
        </w:rPr>
        <w:t>Se propone que este registro esté disponible para consulta en línea, y se integre con herramientas informativas como el Sistema de Información Ambiental de Colombia – SIAC, de manera que la información pueda servir para tener una mejor caracterización de los Programas de Arqueología Preventiva</w:t>
      </w:r>
      <w:r>
        <w:rPr>
          <w:rFonts w:ascii="Arial" w:hAnsi="Arial" w:cs="Arial"/>
          <w:sz w:val="22"/>
          <w:szCs w:val="22"/>
        </w:rPr>
        <w:t>”</w:t>
      </w:r>
      <w:r w:rsidRPr="00453BEA">
        <w:rPr>
          <w:rFonts w:ascii="Arial" w:hAnsi="Arial" w:cs="Arial"/>
          <w:sz w:val="22"/>
          <w:szCs w:val="22"/>
        </w:rPr>
        <w:t>.</w:t>
      </w:r>
    </w:p>
    <w:p w14:paraId="02522C3C" w14:textId="77777777" w:rsidR="00445771" w:rsidRDefault="00445771" w:rsidP="00445771">
      <w:pPr>
        <w:suppressAutoHyphens/>
        <w:ind w:left="2835" w:hanging="2835"/>
        <w:rPr>
          <w:rFonts w:ascii="Arial" w:hAnsi="Arial" w:cs="Arial"/>
          <w:sz w:val="22"/>
          <w:szCs w:val="22"/>
        </w:rPr>
      </w:pPr>
    </w:p>
    <w:p w14:paraId="5F0571A5" w14:textId="525E381F" w:rsidR="00453BEA" w:rsidRDefault="00453BEA" w:rsidP="00453BEA">
      <w:pPr>
        <w:suppressAutoHyphens/>
        <w:ind w:left="720"/>
        <w:jc w:val="both"/>
        <w:rPr>
          <w:rFonts w:ascii="Arial" w:hAnsi="Arial" w:cs="Arial"/>
          <w:sz w:val="22"/>
          <w:szCs w:val="22"/>
        </w:rPr>
      </w:pPr>
      <w:r>
        <w:rPr>
          <w:rFonts w:ascii="Arial" w:hAnsi="Arial" w:cs="Arial"/>
          <w:sz w:val="22"/>
          <w:szCs w:val="22"/>
        </w:rPr>
        <w:t>Respuesta:</w:t>
      </w:r>
      <w:r w:rsidRPr="00453BEA">
        <w:rPr>
          <w:rFonts w:ascii="Arial" w:hAnsi="Arial" w:cs="Arial"/>
          <w:sz w:val="22"/>
          <w:szCs w:val="22"/>
        </w:rPr>
        <w:t xml:space="preserve"> El registro se encuentra disponible al público, pero aún no se encuentra en línea. Se evaluará la posibilidad de publicarlo en la página web del ICANH, de acuerdo con la priorización en los proyectos que realice la institución.</w:t>
      </w:r>
    </w:p>
    <w:p w14:paraId="20BCCB3F" w14:textId="77777777" w:rsidR="001C7AFF" w:rsidRDefault="001C7AFF" w:rsidP="00983CB5">
      <w:pPr>
        <w:suppressAutoHyphens/>
        <w:ind w:left="2835" w:hanging="2835"/>
        <w:jc w:val="both"/>
        <w:rPr>
          <w:rFonts w:ascii="Arial" w:hAnsi="Arial" w:cs="Arial"/>
          <w:sz w:val="22"/>
          <w:szCs w:val="22"/>
        </w:rPr>
      </w:pPr>
    </w:p>
    <w:p w14:paraId="474E64A7" w14:textId="2A8703CE" w:rsidR="00104530" w:rsidRDefault="00104530" w:rsidP="00104530">
      <w:pPr>
        <w:pStyle w:val="Prrafodelista"/>
        <w:numPr>
          <w:ilvl w:val="1"/>
          <w:numId w:val="43"/>
        </w:numPr>
        <w:suppressAutoHyphens/>
        <w:jc w:val="both"/>
        <w:rPr>
          <w:rFonts w:ascii="Arial" w:hAnsi="Arial" w:cs="Arial"/>
          <w:sz w:val="22"/>
          <w:szCs w:val="22"/>
        </w:rPr>
      </w:pPr>
      <w:r>
        <w:rPr>
          <w:rFonts w:ascii="Arial" w:hAnsi="Arial" w:cs="Arial"/>
          <w:sz w:val="22"/>
          <w:szCs w:val="22"/>
        </w:rPr>
        <w:t>Artículo 2.5.3.5. – “</w:t>
      </w:r>
      <w:r w:rsidRPr="00104530">
        <w:rPr>
          <w:rFonts w:ascii="Arial" w:hAnsi="Arial" w:cs="Arial"/>
          <w:i/>
          <w:sz w:val="22"/>
          <w:szCs w:val="22"/>
        </w:rPr>
        <w:t>Recomendaríamos utilizar la referencia de Sistema Nacional de Áreas, el cual quedo definido en el Decreto 2372 de 2010, como Área definida geográficamente que haya sido designada, regulada y administrada a fin de alcanzar objetivos específicos de conservación</w:t>
      </w:r>
      <w:r>
        <w:rPr>
          <w:rFonts w:ascii="Arial" w:hAnsi="Arial" w:cs="Arial"/>
          <w:sz w:val="22"/>
          <w:szCs w:val="22"/>
        </w:rPr>
        <w:t>”.</w:t>
      </w:r>
    </w:p>
    <w:p w14:paraId="5A7DA130" w14:textId="77777777" w:rsidR="00104530" w:rsidRDefault="00104530" w:rsidP="00104530">
      <w:pPr>
        <w:suppressAutoHyphens/>
        <w:ind w:left="720"/>
        <w:jc w:val="both"/>
        <w:rPr>
          <w:rFonts w:ascii="Arial" w:hAnsi="Arial" w:cs="Arial"/>
          <w:sz w:val="22"/>
          <w:szCs w:val="22"/>
        </w:rPr>
      </w:pPr>
    </w:p>
    <w:p w14:paraId="355EA11E" w14:textId="755DCCCE" w:rsidR="00453BEA" w:rsidRPr="00104530" w:rsidRDefault="00104530" w:rsidP="00104530">
      <w:pPr>
        <w:suppressAutoHyphens/>
        <w:ind w:left="720"/>
        <w:jc w:val="both"/>
        <w:rPr>
          <w:rFonts w:ascii="Arial" w:hAnsi="Arial" w:cs="Arial"/>
          <w:sz w:val="22"/>
          <w:szCs w:val="22"/>
        </w:rPr>
      </w:pPr>
      <w:r>
        <w:rPr>
          <w:rFonts w:ascii="Arial" w:hAnsi="Arial" w:cs="Arial"/>
          <w:sz w:val="22"/>
          <w:szCs w:val="22"/>
        </w:rPr>
        <w:t xml:space="preserve">Respuesta: </w:t>
      </w:r>
      <w:r w:rsidRPr="00104530">
        <w:rPr>
          <w:rFonts w:ascii="Arial" w:hAnsi="Arial" w:cs="Arial"/>
          <w:sz w:val="22"/>
          <w:szCs w:val="22"/>
        </w:rPr>
        <w:t xml:space="preserve">Se realizaron ajustes en ese sentido en coordinación con el Ministerio de Ambiente y Desarrollo Sostenible.  </w:t>
      </w:r>
    </w:p>
    <w:p w14:paraId="637A1470" w14:textId="77777777" w:rsidR="00C47C6A" w:rsidRDefault="00C47C6A" w:rsidP="00983CB5">
      <w:pPr>
        <w:suppressAutoHyphens/>
        <w:ind w:left="2835" w:hanging="2835"/>
        <w:jc w:val="both"/>
        <w:rPr>
          <w:rFonts w:ascii="Arial" w:hAnsi="Arial" w:cs="Arial"/>
          <w:sz w:val="22"/>
          <w:szCs w:val="22"/>
        </w:rPr>
      </w:pPr>
    </w:p>
    <w:p w14:paraId="5CF8791D" w14:textId="77777777" w:rsidR="004E67B3" w:rsidRDefault="004E67B3" w:rsidP="00B03EFE">
      <w:pPr>
        <w:suppressAutoHyphens/>
        <w:jc w:val="both"/>
        <w:rPr>
          <w:rFonts w:ascii="Arial" w:hAnsi="Arial" w:cs="Arial"/>
          <w:color w:val="808080" w:themeColor="background1" w:themeShade="80"/>
          <w:sz w:val="12"/>
          <w:szCs w:val="12"/>
        </w:rPr>
      </w:pPr>
    </w:p>
    <w:sectPr w:rsidR="004E67B3" w:rsidSect="00904E52">
      <w:headerReference w:type="even" r:id="rId9"/>
      <w:headerReference w:type="default" r:id="rId10"/>
      <w:footerReference w:type="default" r:id="rId11"/>
      <w:headerReference w:type="first" r:id="rId12"/>
      <w:pgSz w:w="12240" w:h="15840"/>
      <w:pgMar w:top="1417" w:right="1701" w:bottom="1417" w:left="1701" w:header="708" w:footer="6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6F948" w14:textId="77777777" w:rsidR="00EE6F1E" w:rsidRDefault="00EE6F1E" w:rsidP="00F521CD">
      <w:r>
        <w:separator/>
      </w:r>
    </w:p>
  </w:endnote>
  <w:endnote w:type="continuationSeparator" w:id="0">
    <w:p w14:paraId="57E4E485" w14:textId="77777777" w:rsidR="00EE6F1E" w:rsidRDefault="00EE6F1E"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utura Condensed">
    <w:altName w:val="Times New Roman"/>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461044"/>
      <w:docPartObj>
        <w:docPartGallery w:val="Page Numbers (Bottom of Page)"/>
        <w:docPartUnique/>
      </w:docPartObj>
    </w:sdtPr>
    <w:sdtEndPr/>
    <w:sdtContent>
      <w:p w14:paraId="0B91FFB6" w14:textId="77777777" w:rsidR="00860705" w:rsidRDefault="00860705" w:rsidP="00904E52">
        <w:pPr>
          <w:pStyle w:val="Piedepgina"/>
          <w:tabs>
            <w:tab w:val="clear" w:pos="4252"/>
            <w:tab w:val="clear" w:pos="8504"/>
            <w:tab w:val="left" w:pos="4395"/>
          </w:tabs>
        </w:pPr>
      </w:p>
      <w:p w14:paraId="031A60DD" w14:textId="77777777" w:rsidR="00271F74" w:rsidRPr="00872302" w:rsidRDefault="00271F74" w:rsidP="00271F74">
        <w:pPr>
          <w:pStyle w:val="Piedepgina"/>
          <w:tabs>
            <w:tab w:val="clear" w:pos="4252"/>
            <w:tab w:val="clear" w:pos="8504"/>
            <w:tab w:val="left" w:pos="4395"/>
          </w:tabs>
          <w:jc w:val="both"/>
          <w:rPr>
            <w:rFonts w:ascii="Futura Condensed" w:hAnsi="Futura Condensed" w:cs="Futura Condensed"/>
            <w:b/>
            <w:sz w:val="20"/>
            <w:szCs w:val="20"/>
          </w:rPr>
        </w:pPr>
        <w:r w:rsidRPr="00872302">
          <w:rPr>
            <w:rFonts w:ascii="Futura Condensed" w:hAnsi="Futura Condensed" w:cs="Futura Condensed"/>
            <w:b/>
            <w:sz w:val="20"/>
            <w:szCs w:val="20"/>
          </w:rPr>
          <w:t xml:space="preserve">Carrera 8ª No. 8-55  Bogotá, Colombia        </w:t>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p>
      <w:p w14:paraId="2602AF97" w14:textId="77777777" w:rsidR="00271F74" w:rsidRPr="00872302" w:rsidRDefault="00271F74" w:rsidP="00271F74">
        <w:pPr>
          <w:pStyle w:val="Piedepgina"/>
          <w:tabs>
            <w:tab w:val="clear" w:pos="4252"/>
            <w:tab w:val="clear" w:pos="8504"/>
            <w:tab w:val="left" w:pos="900"/>
          </w:tabs>
          <w:jc w:val="both"/>
          <w:rPr>
            <w:rFonts w:ascii="Futura Condensed" w:hAnsi="Futura Condensed" w:cs="Futura Condensed"/>
            <w:sz w:val="20"/>
            <w:szCs w:val="20"/>
          </w:rPr>
        </w:pPr>
        <w:r w:rsidRPr="00872302">
          <w:rPr>
            <w:rFonts w:ascii="Futura Condensed" w:hAnsi="Futura Condensed" w:cs="Futura Condensed"/>
            <w:sz w:val="20"/>
            <w:szCs w:val="20"/>
          </w:rPr>
          <w:t>Conmutador (57 1)  342 4100</w:t>
        </w:r>
      </w:p>
      <w:p w14:paraId="5016FB44" w14:textId="77777777" w:rsidR="00271F74" w:rsidRPr="00574F58" w:rsidRDefault="00271F74" w:rsidP="00271F74">
        <w:pPr>
          <w:pStyle w:val="Piedepgina"/>
          <w:tabs>
            <w:tab w:val="clear" w:pos="4252"/>
            <w:tab w:val="clear" w:pos="8504"/>
            <w:tab w:val="left" w:pos="900"/>
          </w:tabs>
          <w:jc w:val="both"/>
          <w:rPr>
            <w:rFonts w:ascii="Futura Condensed" w:hAnsi="Futura Condensed" w:cs="Futura Condensed"/>
            <w:sz w:val="20"/>
            <w:szCs w:val="20"/>
          </w:rPr>
        </w:pPr>
        <w:r w:rsidRPr="00872302">
          <w:rPr>
            <w:rFonts w:ascii="Futura Condensed" w:hAnsi="Futura Condensed" w:cs="Futura Condensed"/>
            <w:sz w:val="20"/>
            <w:szCs w:val="20"/>
          </w:rPr>
          <w:t>www.mincultura.gov.co</w:t>
        </w:r>
      </w:p>
      <w:p w14:paraId="1E729FD1" w14:textId="0A01D378" w:rsidR="00904E52" w:rsidRDefault="00904E52" w:rsidP="00702E38">
        <w:pPr>
          <w:pStyle w:val="Piedepgina"/>
          <w:jc w:val="right"/>
        </w:pPr>
        <w:r>
          <w:rPr>
            <w:rFonts w:ascii="Futura Condensed" w:hAnsi="Futura Condensed" w:cs="Futura Condensed"/>
            <w:sz w:val="20"/>
            <w:szCs w:val="20"/>
          </w:rPr>
          <w:tab/>
        </w:r>
        <w:r>
          <w:rPr>
            <w:rFonts w:ascii="Futura Condensed" w:hAnsi="Futura Condensed" w:cs="Futura Condensed"/>
            <w:sz w:val="20"/>
            <w:szCs w:val="20"/>
          </w:rPr>
          <w:tab/>
        </w:r>
        <w:r w:rsidR="004C4744">
          <w:rPr>
            <w:rFonts w:ascii="Futura Condensed" w:hAnsi="Futura Condensed" w:cs="Futura Condensed"/>
            <w:sz w:val="20"/>
            <w:szCs w:val="20"/>
          </w:rPr>
          <w:t xml:space="preserve">     </w:t>
        </w:r>
        <w:r>
          <w:fldChar w:fldCharType="begin"/>
        </w:r>
        <w:r>
          <w:instrText>PAGE   \* MERGEFORMAT</w:instrText>
        </w:r>
        <w:r>
          <w:fldChar w:fldCharType="separate"/>
        </w:r>
        <w:r w:rsidR="00104530" w:rsidRPr="00104530">
          <w:rPr>
            <w:noProof/>
            <w:lang w:val="es-ES"/>
          </w:rPr>
          <w:t>4</w:t>
        </w:r>
        <w:r>
          <w:fldChar w:fldCharType="end"/>
        </w:r>
      </w:p>
    </w:sdtContent>
  </w:sdt>
  <w:p w14:paraId="2E69DCB5" w14:textId="77777777" w:rsidR="00967757" w:rsidRPr="0066760D" w:rsidRDefault="00967757" w:rsidP="00850525">
    <w:pPr>
      <w:pStyle w:val="Piedepgina"/>
      <w:tabs>
        <w:tab w:val="clear" w:pos="4252"/>
        <w:tab w:val="clear" w:pos="8504"/>
        <w:tab w:val="left" w:pos="900"/>
      </w:tabs>
      <w:rPr>
        <w:rFonts w:ascii="Futura Condensed" w:hAnsi="Futura Condensed" w:cs="Futura Condense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AADF4" w14:textId="77777777" w:rsidR="00EE6F1E" w:rsidRDefault="00EE6F1E" w:rsidP="00F521CD">
      <w:r>
        <w:separator/>
      </w:r>
    </w:p>
  </w:footnote>
  <w:footnote w:type="continuationSeparator" w:id="0">
    <w:p w14:paraId="47790A6C" w14:textId="77777777" w:rsidR="00EE6F1E" w:rsidRDefault="00EE6F1E"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D5F2B" w14:textId="77777777" w:rsidR="00967757" w:rsidRDefault="00104530">
    <w:pPr>
      <w:pStyle w:val="Encabezado"/>
    </w:pPr>
    <w:r>
      <w:rPr>
        <w:noProof/>
        <w:lang w:eastAsia="es-CO"/>
      </w:rPr>
      <w:pict w14:anchorId="05B8F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967757">
      <w:rPr>
        <w:noProof/>
        <w:lang w:eastAsia="es-CO"/>
      </w:rPr>
      <w:drawing>
        <wp:anchor distT="0" distB="0" distL="114300" distR="114300" simplePos="0" relativeHeight="251664896" behindDoc="1" locked="0" layoutInCell="1" allowOverlap="1" wp14:anchorId="2375B42A" wp14:editId="758D8083">
          <wp:simplePos x="0" y="0"/>
          <wp:positionH relativeFrom="margin">
            <wp:align>center</wp:align>
          </wp:positionH>
          <wp:positionV relativeFrom="margin">
            <wp:align>center</wp:align>
          </wp:positionV>
          <wp:extent cx="16192500" cy="26670000"/>
          <wp:effectExtent l="0" t="0" r="0" b="0"/>
          <wp:wrapNone/>
          <wp:docPr id="234" name="Imagen 234"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anchor>
      </w:drawing>
    </w:r>
    <w:r w:rsidR="00967757">
      <w:rPr>
        <w:noProof/>
        <w:lang w:eastAsia="es-CO"/>
      </w:rPr>
      <w:drawing>
        <wp:anchor distT="0" distB="0" distL="114300" distR="114300" simplePos="0" relativeHeight="251661824" behindDoc="1" locked="0" layoutInCell="1" allowOverlap="1" wp14:anchorId="5088068E" wp14:editId="0D705978">
          <wp:simplePos x="0" y="0"/>
          <wp:positionH relativeFrom="margin">
            <wp:align>center</wp:align>
          </wp:positionH>
          <wp:positionV relativeFrom="margin">
            <wp:align>center</wp:align>
          </wp:positionV>
          <wp:extent cx="6477000" cy="8382000"/>
          <wp:effectExtent l="0" t="0" r="0" b="0"/>
          <wp:wrapNone/>
          <wp:docPr id="235" name="Imagen 235"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anchor>
      </w:drawing>
    </w:r>
    <w:r w:rsidR="00967757">
      <w:rPr>
        <w:noProof/>
        <w:lang w:eastAsia="es-CO"/>
      </w:rPr>
      <w:drawing>
        <wp:anchor distT="0" distB="0" distL="114300" distR="114300" simplePos="0" relativeHeight="251659776" behindDoc="1" locked="0" layoutInCell="1" allowOverlap="1" wp14:anchorId="2A2508F1" wp14:editId="69D4CFCD">
          <wp:simplePos x="0" y="0"/>
          <wp:positionH relativeFrom="margin">
            <wp:align>center</wp:align>
          </wp:positionH>
          <wp:positionV relativeFrom="margin">
            <wp:align>center</wp:align>
          </wp:positionV>
          <wp:extent cx="9715500" cy="12573000"/>
          <wp:effectExtent l="0" t="0" r="0" b="0"/>
          <wp:wrapNone/>
          <wp:docPr id="236" name="Imagen 236"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anchor>
      </w:drawing>
    </w:r>
    <w:r w:rsidR="00967757">
      <w:rPr>
        <w:noProof/>
        <w:lang w:eastAsia="es-CO"/>
      </w:rPr>
      <w:drawing>
        <wp:anchor distT="0" distB="0" distL="114300" distR="114300" simplePos="0" relativeHeight="251657728" behindDoc="1" locked="0" layoutInCell="1" allowOverlap="1" wp14:anchorId="2434EBE7" wp14:editId="1D4ABD22">
          <wp:simplePos x="0" y="0"/>
          <wp:positionH relativeFrom="margin">
            <wp:align>center</wp:align>
          </wp:positionH>
          <wp:positionV relativeFrom="margin">
            <wp:align>center</wp:align>
          </wp:positionV>
          <wp:extent cx="11658600" cy="15087600"/>
          <wp:effectExtent l="0" t="0" r="0" b="0"/>
          <wp:wrapNone/>
          <wp:docPr id="237" name="Imagen 23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anchor>
      </w:drawing>
    </w:r>
    <w:r w:rsidR="00967757">
      <w:rPr>
        <w:noProof/>
        <w:lang w:eastAsia="es-CO"/>
      </w:rPr>
      <w:drawing>
        <wp:anchor distT="0" distB="0" distL="114300" distR="114300" simplePos="0" relativeHeight="251655680" behindDoc="1" locked="0" layoutInCell="1" allowOverlap="1" wp14:anchorId="57468E60" wp14:editId="48D0EE96">
          <wp:simplePos x="0" y="0"/>
          <wp:positionH relativeFrom="margin">
            <wp:align>center</wp:align>
          </wp:positionH>
          <wp:positionV relativeFrom="margin">
            <wp:align>center</wp:align>
          </wp:positionV>
          <wp:extent cx="8102600" cy="10477500"/>
          <wp:effectExtent l="0" t="0" r="0" b="0"/>
          <wp:wrapNone/>
          <wp:docPr id="238" name="Imagen 23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967757">
      <w:rPr>
        <w:noProof/>
        <w:lang w:eastAsia="es-CO"/>
      </w:rPr>
      <w:drawing>
        <wp:anchor distT="0" distB="0" distL="114300" distR="114300" simplePos="0" relativeHeight="251653632" behindDoc="1" locked="0" layoutInCell="1" allowOverlap="1" wp14:anchorId="125DD80C" wp14:editId="3535F8E3">
          <wp:simplePos x="0" y="0"/>
          <wp:positionH relativeFrom="margin">
            <wp:align>center</wp:align>
          </wp:positionH>
          <wp:positionV relativeFrom="margin">
            <wp:align>center</wp:align>
          </wp:positionV>
          <wp:extent cx="8102600" cy="10477500"/>
          <wp:effectExtent l="0" t="0" r="0" b="0"/>
          <wp:wrapNone/>
          <wp:docPr id="239" name="Imagen 239"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967757">
      <w:rPr>
        <w:noProof/>
        <w:lang w:eastAsia="es-CO"/>
      </w:rPr>
      <w:drawing>
        <wp:anchor distT="0" distB="0" distL="114300" distR="114300" simplePos="0" relativeHeight="251649536" behindDoc="1" locked="0" layoutInCell="1" allowOverlap="1" wp14:anchorId="7299DC9A" wp14:editId="13B0EC5F">
          <wp:simplePos x="0" y="0"/>
          <wp:positionH relativeFrom="margin">
            <wp:align>center</wp:align>
          </wp:positionH>
          <wp:positionV relativeFrom="margin">
            <wp:align>center</wp:align>
          </wp:positionV>
          <wp:extent cx="8102600" cy="10477500"/>
          <wp:effectExtent l="0" t="0" r="0" b="0"/>
          <wp:wrapNone/>
          <wp:docPr id="240" name="Imagen 24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44F4" w14:textId="102901C8" w:rsidR="00707818" w:rsidRDefault="00707818" w:rsidP="00707818">
    <w:pPr>
      <w:pStyle w:val="Encabezado"/>
      <w:ind w:left="-567"/>
      <w:jc w:val="right"/>
      <w:rPr>
        <w:rFonts w:ascii="Arial" w:hAnsi="Arial" w:cs="Arial"/>
        <w:noProof/>
        <w:sz w:val="22"/>
        <w:szCs w:val="22"/>
        <w:lang w:eastAsia="es-CO"/>
      </w:rPr>
    </w:pPr>
  </w:p>
  <w:p w14:paraId="136E06A8" w14:textId="77777777" w:rsidR="00707818" w:rsidRDefault="00707818" w:rsidP="00707818">
    <w:pPr>
      <w:pStyle w:val="Encabezado"/>
      <w:ind w:right="-235"/>
    </w:pPr>
  </w:p>
  <w:p w14:paraId="7F020F7A" w14:textId="1035FF18" w:rsidR="00707818" w:rsidRDefault="00271F74" w:rsidP="00271F74">
    <w:pPr>
      <w:pStyle w:val="Encabezado"/>
      <w:ind w:right="49"/>
      <w:jc w:val="right"/>
    </w:pPr>
    <w:r>
      <w:rPr>
        <w:noProof/>
        <w:lang w:eastAsia="es-CO"/>
      </w:rPr>
      <w:drawing>
        <wp:inline distT="0" distB="0" distL="0" distR="0" wp14:anchorId="0288005B" wp14:editId="36826539">
          <wp:extent cx="3029797" cy="39115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8-08-17 a las 8.12.48 a.m..png"/>
                  <pic:cNvPicPr/>
                </pic:nvPicPr>
                <pic:blipFill>
                  <a:blip r:embed="rId1"/>
                  <a:stretch>
                    <a:fillRect/>
                  </a:stretch>
                </pic:blipFill>
                <pic:spPr>
                  <a:xfrm>
                    <a:off x="0" y="0"/>
                    <a:ext cx="3479800" cy="449248"/>
                  </a:xfrm>
                  <a:prstGeom prst="rect">
                    <a:avLst/>
                  </a:prstGeom>
                </pic:spPr>
              </pic:pic>
            </a:graphicData>
          </a:graphic>
        </wp:inline>
      </w:drawing>
    </w:r>
  </w:p>
  <w:p w14:paraId="03C49159" w14:textId="6A95924A" w:rsidR="00967757" w:rsidRPr="00E340CF" w:rsidRDefault="00983CB5" w:rsidP="00445771">
    <w:pPr>
      <w:pStyle w:val="Encabezado"/>
      <w:ind w:right="-235"/>
      <w:jc w:val="center"/>
      <w:rPr>
        <w:rFonts w:ascii="Arial" w:hAnsi="Arial" w:cs="Arial"/>
        <w:sz w:val="22"/>
        <w:szCs w:val="22"/>
      </w:rPr>
    </w:pPr>
    <w:r>
      <w:rPr>
        <w:rFonts w:ascii="Arial" w:hAnsi="Arial" w:cs="Arial"/>
        <w:sz w:val="22"/>
        <w:szCs w:val="22"/>
      </w:rPr>
      <w:t xml:space="preserve">            </w:t>
    </w:r>
    <w:r w:rsidR="00707818" w:rsidRPr="00E340CF">
      <w:rPr>
        <w:rFonts w:ascii="Arial" w:hAnsi="Arial" w:cs="Arial"/>
        <w:sz w:val="22"/>
        <w:szCs w:val="22"/>
      </w:rPr>
      <w:t xml:space="preserve">                                           </w:t>
    </w:r>
    <w:r w:rsidR="00271F74">
      <w:rPr>
        <w:rFonts w:ascii="Arial" w:hAnsi="Arial" w:cs="Arial"/>
        <w:sz w:val="22"/>
        <w:szCs w:val="22"/>
      </w:rPr>
      <w:t xml:space="preserve">                                                                                               </w:t>
    </w:r>
  </w:p>
  <w:p w14:paraId="2708AC52" w14:textId="77777777" w:rsidR="00967757" w:rsidRPr="005938CD" w:rsidRDefault="00967757" w:rsidP="008479E2">
    <w:pPr>
      <w:pStyle w:val="Encabezado"/>
      <w:ind w:left="-567"/>
      <w:jc w:val="right"/>
      <w:rPr>
        <w:rFonts w:ascii="Arial" w:hAnsi="Arial" w:cs="Arial"/>
        <w:noProof/>
        <w:sz w:val="22"/>
        <w:szCs w:val="22"/>
        <w:lang w:eastAsia="es-C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A091E" w14:textId="77777777" w:rsidR="00967757" w:rsidRDefault="00104530">
    <w:pPr>
      <w:pStyle w:val="Encabezado"/>
    </w:pPr>
    <w:r>
      <w:rPr>
        <w:noProof/>
        <w:lang w:eastAsia="es-CO"/>
      </w:rPr>
      <w:pict w14:anchorId="6FA5A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967757">
      <w:rPr>
        <w:noProof/>
        <w:lang w:eastAsia="es-CO"/>
      </w:rPr>
      <w:drawing>
        <wp:anchor distT="0" distB="0" distL="114300" distR="114300" simplePos="0" relativeHeight="251665920" behindDoc="1" locked="0" layoutInCell="1" allowOverlap="1" wp14:anchorId="4012EE82" wp14:editId="3154D841">
          <wp:simplePos x="0" y="0"/>
          <wp:positionH relativeFrom="margin">
            <wp:align>center</wp:align>
          </wp:positionH>
          <wp:positionV relativeFrom="margin">
            <wp:align>center</wp:align>
          </wp:positionV>
          <wp:extent cx="16192500" cy="26670000"/>
          <wp:effectExtent l="0" t="0" r="0" b="0"/>
          <wp:wrapNone/>
          <wp:docPr id="242" name="Imagen 242"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anchor>
      </w:drawing>
    </w:r>
    <w:r w:rsidR="00967757">
      <w:rPr>
        <w:noProof/>
        <w:lang w:eastAsia="es-CO"/>
      </w:rPr>
      <w:drawing>
        <wp:anchor distT="0" distB="0" distL="114300" distR="114300" simplePos="0" relativeHeight="251662848" behindDoc="1" locked="0" layoutInCell="1" allowOverlap="1" wp14:anchorId="1EF90617" wp14:editId="526B56FA">
          <wp:simplePos x="0" y="0"/>
          <wp:positionH relativeFrom="margin">
            <wp:align>center</wp:align>
          </wp:positionH>
          <wp:positionV relativeFrom="margin">
            <wp:align>center</wp:align>
          </wp:positionV>
          <wp:extent cx="6477000" cy="8382000"/>
          <wp:effectExtent l="0" t="0" r="0" b="0"/>
          <wp:wrapNone/>
          <wp:docPr id="243" name="Imagen 24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anchor>
      </w:drawing>
    </w:r>
    <w:r w:rsidR="00967757">
      <w:rPr>
        <w:noProof/>
        <w:lang w:eastAsia="es-CO"/>
      </w:rPr>
      <w:drawing>
        <wp:anchor distT="0" distB="0" distL="114300" distR="114300" simplePos="0" relativeHeight="251660800" behindDoc="1" locked="0" layoutInCell="1" allowOverlap="1" wp14:anchorId="7AF49E9E" wp14:editId="1575FF86">
          <wp:simplePos x="0" y="0"/>
          <wp:positionH relativeFrom="margin">
            <wp:align>center</wp:align>
          </wp:positionH>
          <wp:positionV relativeFrom="margin">
            <wp:align>center</wp:align>
          </wp:positionV>
          <wp:extent cx="9715500" cy="12573000"/>
          <wp:effectExtent l="0" t="0" r="0" b="0"/>
          <wp:wrapNone/>
          <wp:docPr id="244" name="Imagen 24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anchor>
      </w:drawing>
    </w:r>
    <w:r w:rsidR="00967757">
      <w:rPr>
        <w:noProof/>
        <w:lang w:eastAsia="es-CO"/>
      </w:rPr>
      <w:drawing>
        <wp:anchor distT="0" distB="0" distL="114300" distR="114300" simplePos="0" relativeHeight="251658752" behindDoc="1" locked="0" layoutInCell="1" allowOverlap="1" wp14:anchorId="6AD86F59" wp14:editId="0C34A7F7">
          <wp:simplePos x="0" y="0"/>
          <wp:positionH relativeFrom="margin">
            <wp:align>center</wp:align>
          </wp:positionH>
          <wp:positionV relativeFrom="margin">
            <wp:align>center</wp:align>
          </wp:positionV>
          <wp:extent cx="11658600" cy="15087600"/>
          <wp:effectExtent l="0" t="0" r="0" b="0"/>
          <wp:wrapNone/>
          <wp:docPr id="245" name="Imagen 245"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anchor>
      </w:drawing>
    </w:r>
    <w:r w:rsidR="00967757">
      <w:rPr>
        <w:noProof/>
        <w:lang w:eastAsia="es-CO"/>
      </w:rPr>
      <w:drawing>
        <wp:anchor distT="0" distB="0" distL="114300" distR="114300" simplePos="0" relativeHeight="251656704" behindDoc="1" locked="0" layoutInCell="1" allowOverlap="1" wp14:anchorId="5B1C614E" wp14:editId="6ACDDE7A">
          <wp:simplePos x="0" y="0"/>
          <wp:positionH relativeFrom="margin">
            <wp:align>center</wp:align>
          </wp:positionH>
          <wp:positionV relativeFrom="margin">
            <wp:align>center</wp:align>
          </wp:positionV>
          <wp:extent cx="8102600" cy="10477500"/>
          <wp:effectExtent l="0" t="0" r="0" b="0"/>
          <wp:wrapNone/>
          <wp:docPr id="246" name="Imagen 246"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967757">
      <w:rPr>
        <w:noProof/>
        <w:lang w:eastAsia="es-CO"/>
      </w:rPr>
      <w:drawing>
        <wp:anchor distT="0" distB="0" distL="114300" distR="114300" simplePos="0" relativeHeight="251654656" behindDoc="1" locked="0" layoutInCell="1" allowOverlap="1" wp14:anchorId="76DCD2CC" wp14:editId="108FCC48">
          <wp:simplePos x="0" y="0"/>
          <wp:positionH relativeFrom="margin">
            <wp:align>center</wp:align>
          </wp:positionH>
          <wp:positionV relativeFrom="margin">
            <wp:align>center</wp:align>
          </wp:positionV>
          <wp:extent cx="8102600" cy="10477500"/>
          <wp:effectExtent l="0" t="0" r="0" b="0"/>
          <wp:wrapNone/>
          <wp:docPr id="247" name="Imagen 247"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967757">
      <w:rPr>
        <w:noProof/>
        <w:lang w:eastAsia="es-CO"/>
      </w:rPr>
      <w:drawing>
        <wp:anchor distT="0" distB="0" distL="114300" distR="114300" simplePos="0" relativeHeight="251650560" behindDoc="1" locked="0" layoutInCell="1" allowOverlap="1" wp14:anchorId="779C967B" wp14:editId="4D45F2F4">
          <wp:simplePos x="0" y="0"/>
          <wp:positionH relativeFrom="margin">
            <wp:align>center</wp:align>
          </wp:positionH>
          <wp:positionV relativeFrom="margin">
            <wp:align>center</wp:align>
          </wp:positionV>
          <wp:extent cx="8102600" cy="10477500"/>
          <wp:effectExtent l="0" t="0" r="0" b="0"/>
          <wp:wrapNone/>
          <wp:docPr id="248" name="Imagen 248"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CDC"/>
    <w:multiLevelType w:val="hybridMultilevel"/>
    <w:tmpl w:val="5C442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236BED"/>
    <w:multiLevelType w:val="multilevel"/>
    <w:tmpl w:val="5F362150"/>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BF55EF2"/>
    <w:multiLevelType w:val="hybridMultilevel"/>
    <w:tmpl w:val="9AFC3BD2"/>
    <w:lvl w:ilvl="0" w:tplc="3C2CCA8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4E38BF"/>
    <w:multiLevelType w:val="hybridMultilevel"/>
    <w:tmpl w:val="81CA97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0C5F439C"/>
    <w:multiLevelType w:val="hybridMultilevel"/>
    <w:tmpl w:val="EFB6A99E"/>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800" w:hanging="72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746C00"/>
    <w:multiLevelType w:val="hybridMultilevel"/>
    <w:tmpl w:val="A7608E24"/>
    <w:lvl w:ilvl="0" w:tplc="9244B1F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856EA4"/>
    <w:multiLevelType w:val="hybridMultilevel"/>
    <w:tmpl w:val="66E2541A"/>
    <w:lvl w:ilvl="0" w:tplc="CC54419C">
      <w:start w:val="1"/>
      <w:numFmt w:val="decimal"/>
      <w:lvlText w:val="%1)"/>
      <w:lvlJc w:val="left"/>
      <w:pPr>
        <w:ind w:left="786" w:hanging="360"/>
      </w:pPr>
      <w:rPr>
        <w:rFonts w:hint="default"/>
        <w:i w:val="0"/>
      </w:rPr>
    </w:lvl>
    <w:lvl w:ilvl="1" w:tplc="240A0019" w:tentative="1">
      <w:start w:val="1"/>
      <w:numFmt w:val="lowerLetter"/>
      <w:lvlText w:val="%2."/>
      <w:lvlJc w:val="left"/>
      <w:pPr>
        <w:ind w:left="1282" w:hanging="360"/>
      </w:pPr>
    </w:lvl>
    <w:lvl w:ilvl="2" w:tplc="240A001B" w:tentative="1">
      <w:start w:val="1"/>
      <w:numFmt w:val="lowerRoman"/>
      <w:lvlText w:val="%3."/>
      <w:lvlJc w:val="right"/>
      <w:pPr>
        <w:ind w:left="2002" w:hanging="180"/>
      </w:pPr>
    </w:lvl>
    <w:lvl w:ilvl="3" w:tplc="240A000F" w:tentative="1">
      <w:start w:val="1"/>
      <w:numFmt w:val="decimal"/>
      <w:lvlText w:val="%4."/>
      <w:lvlJc w:val="left"/>
      <w:pPr>
        <w:ind w:left="2722" w:hanging="360"/>
      </w:pPr>
    </w:lvl>
    <w:lvl w:ilvl="4" w:tplc="240A0019" w:tentative="1">
      <w:start w:val="1"/>
      <w:numFmt w:val="lowerLetter"/>
      <w:lvlText w:val="%5."/>
      <w:lvlJc w:val="left"/>
      <w:pPr>
        <w:ind w:left="3442" w:hanging="360"/>
      </w:pPr>
    </w:lvl>
    <w:lvl w:ilvl="5" w:tplc="240A001B" w:tentative="1">
      <w:start w:val="1"/>
      <w:numFmt w:val="lowerRoman"/>
      <w:lvlText w:val="%6."/>
      <w:lvlJc w:val="right"/>
      <w:pPr>
        <w:ind w:left="4162" w:hanging="180"/>
      </w:pPr>
    </w:lvl>
    <w:lvl w:ilvl="6" w:tplc="240A000F" w:tentative="1">
      <w:start w:val="1"/>
      <w:numFmt w:val="decimal"/>
      <w:lvlText w:val="%7."/>
      <w:lvlJc w:val="left"/>
      <w:pPr>
        <w:ind w:left="4882" w:hanging="360"/>
      </w:pPr>
    </w:lvl>
    <w:lvl w:ilvl="7" w:tplc="240A0019" w:tentative="1">
      <w:start w:val="1"/>
      <w:numFmt w:val="lowerLetter"/>
      <w:lvlText w:val="%8."/>
      <w:lvlJc w:val="left"/>
      <w:pPr>
        <w:ind w:left="5602" w:hanging="360"/>
      </w:pPr>
    </w:lvl>
    <w:lvl w:ilvl="8" w:tplc="240A001B" w:tentative="1">
      <w:start w:val="1"/>
      <w:numFmt w:val="lowerRoman"/>
      <w:lvlText w:val="%9."/>
      <w:lvlJc w:val="right"/>
      <w:pPr>
        <w:ind w:left="6322" w:hanging="180"/>
      </w:pPr>
    </w:lvl>
  </w:abstractNum>
  <w:abstractNum w:abstractNumId="7">
    <w:nsid w:val="1A346426"/>
    <w:multiLevelType w:val="hybridMultilevel"/>
    <w:tmpl w:val="C17EA82C"/>
    <w:lvl w:ilvl="0" w:tplc="240A0005">
      <w:start w:val="1"/>
      <w:numFmt w:val="bullet"/>
      <w:lvlText w:val=""/>
      <w:lvlJc w:val="left"/>
      <w:pPr>
        <w:ind w:left="1428" w:hanging="360"/>
      </w:pPr>
      <w:rPr>
        <w:rFonts w:ascii="Wingdings" w:hAnsi="Wingdings"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nsid w:val="1B275752"/>
    <w:multiLevelType w:val="hybridMultilevel"/>
    <w:tmpl w:val="4A0AED24"/>
    <w:lvl w:ilvl="0" w:tplc="240A0003">
      <w:start w:val="1"/>
      <w:numFmt w:val="bullet"/>
      <w:lvlText w:val="o"/>
      <w:lvlJc w:val="left"/>
      <w:pPr>
        <w:ind w:left="142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1E171896"/>
    <w:multiLevelType w:val="multilevel"/>
    <w:tmpl w:val="779C2C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21CA7942"/>
    <w:multiLevelType w:val="hybridMultilevel"/>
    <w:tmpl w:val="E730A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35A6DFC"/>
    <w:multiLevelType w:val="hybridMultilevel"/>
    <w:tmpl w:val="60CC05F6"/>
    <w:lvl w:ilvl="0" w:tplc="240A0001">
      <w:start w:val="1"/>
      <w:numFmt w:val="bullet"/>
      <w:lvlText w:val=""/>
      <w:lvlJc w:val="left"/>
      <w:pPr>
        <w:ind w:left="720" w:hanging="360"/>
      </w:pPr>
      <w:rPr>
        <w:rFonts w:ascii="Symbol" w:hAnsi="Symbol" w:hint="default"/>
      </w:rPr>
    </w:lvl>
    <w:lvl w:ilvl="1" w:tplc="A9C0DBEC">
      <w:numFmt w:val="bullet"/>
      <w:lvlText w:val="•"/>
      <w:lvlJc w:val="left"/>
      <w:pPr>
        <w:ind w:left="1440" w:hanging="3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617792B"/>
    <w:multiLevelType w:val="hybridMultilevel"/>
    <w:tmpl w:val="014C036C"/>
    <w:lvl w:ilvl="0" w:tplc="903E37D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62520E7"/>
    <w:multiLevelType w:val="hybridMultilevel"/>
    <w:tmpl w:val="C276E006"/>
    <w:lvl w:ilvl="0" w:tplc="D6CE4E6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476745"/>
    <w:multiLevelType w:val="hybridMultilevel"/>
    <w:tmpl w:val="4036C63E"/>
    <w:lvl w:ilvl="0" w:tplc="240A0005">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nsid w:val="2CAC79F3"/>
    <w:multiLevelType w:val="hybridMultilevel"/>
    <w:tmpl w:val="6674FF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2D3622"/>
    <w:multiLevelType w:val="hybridMultilevel"/>
    <w:tmpl w:val="33547EF4"/>
    <w:lvl w:ilvl="0" w:tplc="240A0001">
      <w:start w:val="1"/>
      <w:numFmt w:val="bullet"/>
      <w:lvlText w:val=""/>
      <w:lvlJc w:val="left"/>
      <w:pPr>
        <w:ind w:left="720" w:hanging="360"/>
      </w:pPr>
      <w:rPr>
        <w:rFonts w:ascii="Symbol" w:hAnsi="Symbol" w:hint="default"/>
      </w:rPr>
    </w:lvl>
    <w:lvl w:ilvl="1" w:tplc="D656362E">
      <w:numFmt w:val="bullet"/>
      <w:lvlText w:val="•"/>
      <w:lvlJc w:val="left"/>
      <w:pPr>
        <w:ind w:left="1800" w:hanging="72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F836886"/>
    <w:multiLevelType w:val="hybridMultilevel"/>
    <w:tmpl w:val="D7F46932"/>
    <w:lvl w:ilvl="0" w:tplc="F20A1CCA">
      <w:start w:val="4"/>
      <w:numFmt w:val="bullet"/>
      <w:lvlText w:val="-"/>
      <w:lvlJc w:val="left"/>
      <w:pPr>
        <w:ind w:left="1080" w:hanging="360"/>
      </w:pPr>
      <w:rPr>
        <w:rFonts w:ascii="Cambria" w:eastAsiaTheme="minorEastAsia" w:hAnsi="Cambria"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31485134"/>
    <w:multiLevelType w:val="hybridMultilevel"/>
    <w:tmpl w:val="0FF0E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5332744"/>
    <w:multiLevelType w:val="hybridMultilevel"/>
    <w:tmpl w:val="039487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AD6523E"/>
    <w:multiLevelType w:val="hybridMultilevel"/>
    <w:tmpl w:val="B6FA4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1965C3B"/>
    <w:multiLevelType w:val="hybridMultilevel"/>
    <w:tmpl w:val="17CC52F8"/>
    <w:lvl w:ilvl="0" w:tplc="240A0005">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nsid w:val="41E9372D"/>
    <w:multiLevelType w:val="hybridMultilevel"/>
    <w:tmpl w:val="080890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4720C45"/>
    <w:multiLevelType w:val="hybridMultilevel"/>
    <w:tmpl w:val="36C20AB0"/>
    <w:lvl w:ilvl="0" w:tplc="FA2E4D6A">
      <w:start w:val="1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60A200C"/>
    <w:multiLevelType w:val="hybridMultilevel"/>
    <w:tmpl w:val="EBA80EC6"/>
    <w:lvl w:ilvl="0" w:tplc="3F90EC8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6F4538C"/>
    <w:multiLevelType w:val="hybridMultilevel"/>
    <w:tmpl w:val="071AF2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7473C41"/>
    <w:multiLevelType w:val="hybridMultilevel"/>
    <w:tmpl w:val="BDD667F2"/>
    <w:lvl w:ilvl="0" w:tplc="43F438DC">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80B24C5"/>
    <w:multiLevelType w:val="hybridMultilevel"/>
    <w:tmpl w:val="B59A5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8">
    <w:nsid w:val="52695920"/>
    <w:multiLevelType w:val="hybridMultilevel"/>
    <w:tmpl w:val="D702ED3A"/>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52D20254"/>
    <w:multiLevelType w:val="hybridMultilevel"/>
    <w:tmpl w:val="D9089D8C"/>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53925D9C"/>
    <w:multiLevelType w:val="hybridMultilevel"/>
    <w:tmpl w:val="A5BCA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4C70B63"/>
    <w:multiLevelType w:val="hybridMultilevel"/>
    <w:tmpl w:val="F3E07E2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610F3B71"/>
    <w:multiLevelType w:val="hybridMultilevel"/>
    <w:tmpl w:val="A3407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2C163BE"/>
    <w:multiLevelType w:val="hybridMultilevel"/>
    <w:tmpl w:val="38046092"/>
    <w:lvl w:ilvl="0" w:tplc="240A0005">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nsid w:val="64847388"/>
    <w:multiLevelType w:val="hybridMultilevel"/>
    <w:tmpl w:val="0E5A0D5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65972DBB"/>
    <w:multiLevelType w:val="hybridMultilevel"/>
    <w:tmpl w:val="11F407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75152A1"/>
    <w:multiLevelType w:val="hybridMultilevel"/>
    <w:tmpl w:val="9AE6D586"/>
    <w:lvl w:ilvl="0" w:tplc="844E3264">
      <w:start w:val="110"/>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427106"/>
    <w:multiLevelType w:val="hybridMultilevel"/>
    <w:tmpl w:val="83BE7ECC"/>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nsid w:val="6F695E31"/>
    <w:multiLevelType w:val="hybridMultilevel"/>
    <w:tmpl w:val="4BB821D8"/>
    <w:lvl w:ilvl="0" w:tplc="240A0001">
      <w:start w:val="1"/>
      <w:numFmt w:val="bullet"/>
      <w:lvlText w:val=""/>
      <w:lvlJc w:val="left"/>
      <w:pPr>
        <w:ind w:left="1440" w:hanging="360"/>
      </w:pPr>
      <w:rPr>
        <w:rFonts w:ascii="Symbol" w:hAnsi="Symbol" w:hint="default"/>
      </w:rPr>
    </w:lvl>
    <w:lvl w:ilvl="1" w:tplc="9E325FA4">
      <w:numFmt w:val="bullet"/>
      <w:lvlText w:val="•"/>
      <w:lvlJc w:val="left"/>
      <w:pPr>
        <w:ind w:left="2160" w:hanging="360"/>
      </w:pPr>
      <w:rPr>
        <w:rFonts w:ascii="Arial" w:eastAsiaTheme="minorEastAsia" w:hAnsi="Arial" w:cs="Arial"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71A75E5B"/>
    <w:multiLevelType w:val="hybridMultilevel"/>
    <w:tmpl w:val="2F86A2F2"/>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800" w:hanging="72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EB1927"/>
    <w:multiLevelType w:val="hybridMultilevel"/>
    <w:tmpl w:val="1764A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73217C3"/>
    <w:multiLevelType w:val="hybridMultilevel"/>
    <w:tmpl w:val="E8D00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9A03956"/>
    <w:multiLevelType w:val="hybridMultilevel"/>
    <w:tmpl w:val="A4327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25"/>
  </w:num>
  <w:num w:numId="4">
    <w:abstractNumId w:val="6"/>
  </w:num>
  <w:num w:numId="5">
    <w:abstractNumId w:val="17"/>
  </w:num>
  <w:num w:numId="6">
    <w:abstractNumId w:val="30"/>
  </w:num>
  <w:num w:numId="7">
    <w:abstractNumId w:val="18"/>
  </w:num>
  <w:num w:numId="8">
    <w:abstractNumId w:val="8"/>
  </w:num>
  <w:num w:numId="9">
    <w:abstractNumId w:val="13"/>
  </w:num>
  <w:num w:numId="10">
    <w:abstractNumId w:val="11"/>
  </w:num>
  <w:num w:numId="11">
    <w:abstractNumId w:val="28"/>
  </w:num>
  <w:num w:numId="12">
    <w:abstractNumId w:val="41"/>
  </w:num>
  <w:num w:numId="13">
    <w:abstractNumId w:val="16"/>
  </w:num>
  <w:num w:numId="14">
    <w:abstractNumId w:val="4"/>
  </w:num>
  <w:num w:numId="15">
    <w:abstractNumId w:val="34"/>
  </w:num>
  <w:num w:numId="16">
    <w:abstractNumId w:val="33"/>
  </w:num>
  <w:num w:numId="17">
    <w:abstractNumId w:val="39"/>
  </w:num>
  <w:num w:numId="18">
    <w:abstractNumId w:val="7"/>
  </w:num>
  <w:num w:numId="19">
    <w:abstractNumId w:val="21"/>
  </w:num>
  <w:num w:numId="20">
    <w:abstractNumId w:val="14"/>
  </w:num>
  <w:num w:numId="21">
    <w:abstractNumId w:val="32"/>
  </w:num>
  <w:num w:numId="22">
    <w:abstractNumId w:val="23"/>
  </w:num>
  <w:num w:numId="23">
    <w:abstractNumId w:val="5"/>
  </w:num>
  <w:num w:numId="24">
    <w:abstractNumId w:val="24"/>
  </w:num>
  <w:num w:numId="25">
    <w:abstractNumId w:val="27"/>
  </w:num>
  <w:num w:numId="26">
    <w:abstractNumId w:val="35"/>
  </w:num>
  <w:num w:numId="27">
    <w:abstractNumId w:val="19"/>
  </w:num>
  <w:num w:numId="28">
    <w:abstractNumId w:val="1"/>
  </w:num>
  <w:num w:numId="29">
    <w:abstractNumId w:val="40"/>
  </w:num>
  <w:num w:numId="30">
    <w:abstractNumId w:val="2"/>
  </w:num>
  <w:num w:numId="31">
    <w:abstractNumId w:val="38"/>
  </w:num>
  <w:num w:numId="32">
    <w:abstractNumId w:val="12"/>
  </w:num>
  <w:num w:numId="33">
    <w:abstractNumId w:val="3"/>
  </w:num>
  <w:num w:numId="34">
    <w:abstractNumId w:val="22"/>
  </w:num>
  <w:num w:numId="35">
    <w:abstractNumId w:val="15"/>
  </w:num>
  <w:num w:numId="36">
    <w:abstractNumId w:val="31"/>
  </w:num>
  <w:num w:numId="37">
    <w:abstractNumId w:val="29"/>
  </w:num>
  <w:num w:numId="38">
    <w:abstractNumId w:val="37"/>
  </w:num>
  <w:num w:numId="39">
    <w:abstractNumId w:val="0"/>
  </w:num>
  <w:num w:numId="40">
    <w:abstractNumId w:val="26"/>
  </w:num>
  <w:num w:numId="41">
    <w:abstractNumId w:val="42"/>
  </w:num>
  <w:num w:numId="42">
    <w:abstractNumId w:val="2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186"/>
    <w:rsid w:val="0000049A"/>
    <w:rsid w:val="00007821"/>
    <w:rsid w:val="000125E5"/>
    <w:rsid w:val="000125EB"/>
    <w:rsid w:val="000137C0"/>
    <w:rsid w:val="0001577F"/>
    <w:rsid w:val="00016EB1"/>
    <w:rsid w:val="0002073C"/>
    <w:rsid w:val="00021DD9"/>
    <w:rsid w:val="00023BA8"/>
    <w:rsid w:val="0002705A"/>
    <w:rsid w:val="00033A99"/>
    <w:rsid w:val="00034823"/>
    <w:rsid w:val="00034A71"/>
    <w:rsid w:val="00042B0F"/>
    <w:rsid w:val="000433EA"/>
    <w:rsid w:val="00045865"/>
    <w:rsid w:val="00046FA1"/>
    <w:rsid w:val="000603FC"/>
    <w:rsid w:val="00060D0A"/>
    <w:rsid w:val="00061118"/>
    <w:rsid w:val="0006307D"/>
    <w:rsid w:val="00065D08"/>
    <w:rsid w:val="0007199A"/>
    <w:rsid w:val="00072F29"/>
    <w:rsid w:val="00080805"/>
    <w:rsid w:val="000835D0"/>
    <w:rsid w:val="00083C1D"/>
    <w:rsid w:val="00084E52"/>
    <w:rsid w:val="00085724"/>
    <w:rsid w:val="00086EB3"/>
    <w:rsid w:val="000907A1"/>
    <w:rsid w:val="000917C2"/>
    <w:rsid w:val="0009321D"/>
    <w:rsid w:val="000974A0"/>
    <w:rsid w:val="000A1984"/>
    <w:rsid w:val="000A5351"/>
    <w:rsid w:val="000B1446"/>
    <w:rsid w:val="000B54B5"/>
    <w:rsid w:val="000C04D8"/>
    <w:rsid w:val="000C52CC"/>
    <w:rsid w:val="000C7892"/>
    <w:rsid w:val="000D421F"/>
    <w:rsid w:val="000D6CBE"/>
    <w:rsid w:val="000E119E"/>
    <w:rsid w:val="000E174E"/>
    <w:rsid w:val="000E5262"/>
    <w:rsid w:val="000F03F3"/>
    <w:rsid w:val="00100630"/>
    <w:rsid w:val="0010435D"/>
    <w:rsid w:val="00104530"/>
    <w:rsid w:val="001051EE"/>
    <w:rsid w:val="001076DE"/>
    <w:rsid w:val="0011233F"/>
    <w:rsid w:val="00113A7F"/>
    <w:rsid w:val="00115705"/>
    <w:rsid w:val="001203F2"/>
    <w:rsid w:val="00121287"/>
    <w:rsid w:val="00122D81"/>
    <w:rsid w:val="00124707"/>
    <w:rsid w:val="00124963"/>
    <w:rsid w:val="00124C98"/>
    <w:rsid w:val="001333E7"/>
    <w:rsid w:val="00135418"/>
    <w:rsid w:val="00140EF0"/>
    <w:rsid w:val="00142B7C"/>
    <w:rsid w:val="00145A7B"/>
    <w:rsid w:val="00145F3D"/>
    <w:rsid w:val="00152C0A"/>
    <w:rsid w:val="00153005"/>
    <w:rsid w:val="001554B2"/>
    <w:rsid w:val="0015610C"/>
    <w:rsid w:val="00156CB1"/>
    <w:rsid w:val="001607FB"/>
    <w:rsid w:val="00162595"/>
    <w:rsid w:val="00162FE9"/>
    <w:rsid w:val="00171F9D"/>
    <w:rsid w:val="001725B9"/>
    <w:rsid w:val="00172A5B"/>
    <w:rsid w:val="001770AC"/>
    <w:rsid w:val="00177A45"/>
    <w:rsid w:val="00181AC8"/>
    <w:rsid w:val="00182D8B"/>
    <w:rsid w:val="00183E2A"/>
    <w:rsid w:val="00191F26"/>
    <w:rsid w:val="001933DD"/>
    <w:rsid w:val="001941C7"/>
    <w:rsid w:val="001941CC"/>
    <w:rsid w:val="001959D0"/>
    <w:rsid w:val="001A1EAD"/>
    <w:rsid w:val="001A6E90"/>
    <w:rsid w:val="001A7D71"/>
    <w:rsid w:val="001B0C3D"/>
    <w:rsid w:val="001B4149"/>
    <w:rsid w:val="001B545D"/>
    <w:rsid w:val="001B7057"/>
    <w:rsid w:val="001C2B41"/>
    <w:rsid w:val="001C4E35"/>
    <w:rsid w:val="001C5DB8"/>
    <w:rsid w:val="001C7AFF"/>
    <w:rsid w:val="001C7D19"/>
    <w:rsid w:val="001D3CD0"/>
    <w:rsid w:val="001D508E"/>
    <w:rsid w:val="001E4C31"/>
    <w:rsid w:val="001F4364"/>
    <w:rsid w:val="001F79AB"/>
    <w:rsid w:val="002016D4"/>
    <w:rsid w:val="002037E0"/>
    <w:rsid w:val="00210E9C"/>
    <w:rsid w:val="00212073"/>
    <w:rsid w:val="002121AE"/>
    <w:rsid w:val="002152FA"/>
    <w:rsid w:val="0021789D"/>
    <w:rsid w:val="00220520"/>
    <w:rsid w:val="00224739"/>
    <w:rsid w:val="00225BA4"/>
    <w:rsid w:val="00232EB1"/>
    <w:rsid w:val="00242EEA"/>
    <w:rsid w:val="00245143"/>
    <w:rsid w:val="002550B2"/>
    <w:rsid w:val="00257F24"/>
    <w:rsid w:val="00262E74"/>
    <w:rsid w:val="002700B7"/>
    <w:rsid w:val="00271F74"/>
    <w:rsid w:val="0027358F"/>
    <w:rsid w:val="0028032F"/>
    <w:rsid w:val="00285858"/>
    <w:rsid w:val="00290EF2"/>
    <w:rsid w:val="002921DB"/>
    <w:rsid w:val="00294454"/>
    <w:rsid w:val="00296DBA"/>
    <w:rsid w:val="002974C4"/>
    <w:rsid w:val="002A1F02"/>
    <w:rsid w:val="002B0859"/>
    <w:rsid w:val="002B54E9"/>
    <w:rsid w:val="002D0683"/>
    <w:rsid w:val="002E01E8"/>
    <w:rsid w:val="002E3966"/>
    <w:rsid w:val="002E58F9"/>
    <w:rsid w:val="002E5C54"/>
    <w:rsid w:val="002F1EF0"/>
    <w:rsid w:val="002F2C7C"/>
    <w:rsid w:val="002F40B6"/>
    <w:rsid w:val="002F4CA7"/>
    <w:rsid w:val="002F561F"/>
    <w:rsid w:val="002F6698"/>
    <w:rsid w:val="00305AE3"/>
    <w:rsid w:val="0030606F"/>
    <w:rsid w:val="003066B9"/>
    <w:rsid w:val="0031054C"/>
    <w:rsid w:val="00314C24"/>
    <w:rsid w:val="003310DA"/>
    <w:rsid w:val="003322CB"/>
    <w:rsid w:val="003362C7"/>
    <w:rsid w:val="00341B8F"/>
    <w:rsid w:val="00344C65"/>
    <w:rsid w:val="00357DDD"/>
    <w:rsid w:val="00361365"/>
    <w:rsid w:val="003617D5"/>
    <w:rsid w:val="00366547"/>
    <w:rsid w:val="00366B23"/>
    <w:rsid w:val="003720C4"/>
    <w:rsid w:val="003742A2"/>
    <w:rsid w:val="00374480"/>
    <w:rsid w:val="00381CB9"/>
    <w:rsid w:val="00381F8E"/>
    <w:rsid w:val="00384305"/>
    <w:rsid w:val="00390470"/>
    <w:rsid w:val="00393471"/>
    <w:rsid w:val="00397669"/>
    <w:rsid w:val="00397B63"/>
    <w:rsid w:val="003A16AE"/>
    <w:rsid w:val="003A24CC"/>
    <w:rsid w:val="003A2902"/>
    <w:rsid w:val="003A3643"/>
    <w:rsid w:val="003A5FB5"/>
    <w:rsid w:val="003B1202"/>
    <w:rsid w:val="003B167C"/>
    <w:rsid w:val="003B333C"/>
    <w:rsid w:val="003C05DD"/>
    <w:rsid w:val="003C251B"/>
    <w:rsid w:val="003C4F93"/>
    <w:rsid w:val="003C7519"/>
    <w:rsid w:val="003D6FF8"/>
    <w:rsid w:val="003E0AF8"/>
    <w:rsid w:val="003E72A9"/>
    <w:rsid w:val="003F0403"/>
    <w:rsid w:val="003F0F08"/>
    <w:rsid w:val="003F38D5"/>
    <w:rsid w:val="003F3997"/>
    <w:rsid w:val="003F7965"/>
    <w:rsid w:val="004047D5"/>
    <w:rsid w:val="00411826"/>
    <w:rsid w:val="00411A20"/>
    <w:rsid w:val="004121BC"/>
    <w:rsid w:val="00415674"/>
    <w:rsid w:val="00417FEA"/>
    <w:rsid w:val="00421902"/>
    <w:rsid w:val="00433184"/>
    <w:rsid w:val="004338AF"/>
    <w:rsid w:val="004414B7"/>
    <w:rsid w:val="00441E1F"/>
    <w:rsid w:val="0044528E"/>
    <w:rsid w:val="00445771"/>
    <w:rsid w:val="004522A9"/>
    <w:rsid w:val="00453895"/>
    <w:rsid w:val="00453BEA"/>
    <w:rsid w:val="00461E90"/>
    <w:rsid w:val="00463F23"/>
    <w:rsid w:val="00464382"/>
    <w:rsid w:val="0046480B"/>
    <w:rsid w:val="0046569C"/>
    <w:rsid w:val="00467409"/>
    <w:rsid w:val="004678EF"/>
    <w:rsid w:val="004852B7"/>
    <w:rsid w:val="00490908"/>
    <w:rsid w:val="004921C3"/>
    <w:rsid w:val="00492D48"/>
    <w:rsid w:val="00494952"/>
    <w:rsid w:val="004958F8"/>
    <w:rsid w:val="00496077"/>
    <w:rsid w:val="004A4828"/>
    <w:rsid w:val="004A5787"/>
    <w:rsid w:val="004B0CA5"/>
    <w:rsid w:val="004B2B5A"/>
    <w:rsid w:val="004B7075"/>
    <w:rsid w:val="004C0A4B"/>
    <w:rsid w:val="004C4744"/>
    <w:rsid w:val="004C6F6D"/>
    <w:rsid w:val="004D1F48"/>
    <w:rsid w:val="004D4654"/>
    <w:rsid w:val="004D4BC8"/>
    <w:rsid w:val="004D6539"/>
    <w:rsid w:val="004D6ADE"/>
    <w:rsid w:val="004E04F2"/>
    <w:rsid w:val="004E20EF"/>
    <w:rsid w:val="004E67B3"/>
    <w:rsid w:val="004F10E0"/>
    <w:rsid w:val="004F6996"/>
    <w:rsid w:val="00500557"/>
    <w:rsid w:val="0050260D"/>
    <w:rsid w:val="00506A88"/>
    <w:rsid w:val="0051105D"/>
    <w:rsid w:val="00520FE5"/>
    <w:rsid w:val="00525C3E"/>
    <w:rsid w:val="00526623"/>
    <w:rsid w:val="00530401"/>
    <w:rsid w:val="00531281"/>
    <w:rsid w:val="00533A0C"/>
    <w:rsid w:val="00543385"/>
    <w:rsid w:val="005472E8"/>
    <w:rsid w:val="00551EB1"/>
    <w:rsid w:val="005555A3"/>
    <w:rsid w:val="00555A86"/>
    <w:rsid w:val="005567FB"/>
    <w:rsid w:val="00556E86"/>
    <w:rsid w:val="00556FE5"/>
    <w:rsid w:val="00561B9D"/>
    <w:rsid w:val="0056502A"/>
    <w:rsid w:val="005714F6"/>
    <w:rsid w:val="00573E1D"/>
    <w:rsid w:val="00582E55"/>
    <w:rsid w:val="00583CF7"/>
    <w:rsid w:val="005916EE"/>
    <w:rsid w:val="00591965"/>
    <w:rsid w:val="005938CD"/>
    <w:rsid w:val="00593DF2"/>
    <w:rsid w:val="00595ADF"/>
    <w:rsid w:val="005A3578"/>
    <w:rsid w:val="005A5ABB"/>
    <w:rsid w:val="005B04FA"/>
    <w:rsid w:val="005B4D4D"/>
    <w:rsid w:val="005B6498"/>
    <w:rsid w:val="005C274C"/>
    <w:rsid w:val="005C40A8"/>
    <w:rsid w:val="005E1B1B"/>
    <w:rsid w:val="005E28AD"/>
    <w:rsid w:val="005E5702"/>
    <w:rsid w:val="005F1700"/>
    <w:rsid w:val="006002E7"/>
    <w:rsid w:val="006026F5"/>
    <w:rsid w:val="0062066B"/>
    <w:rsid w:val="006214E5"/>
    <w:rsid w:val="006234A4"/>
    <w:rsid w:val="0062366C"/>
    <w:rsid w:val="00643153"/>
    <w:rsid w:val="0065180F"/>
    <w:rsid w:val="00651F7C"/>
    <w:rsid w:val="00657BA1"/>
    <w:rsid w:val="00661CB3"/>
    <w:rsid w:val="00667510"/>
    <w:rsid w:val="00667F19"/>
    <w:rsid w:val="006735EB"/>
    <w:rsid w:val="00676CB0"/>
    <w:rsid w:val="00683F69"/>
    <w:rsid w:val="006866C4"/>
    <w:rsid w:val="00691ED2"/>
    <w:rsid w:val="006929A4"/>
    <w:rsid w:val="0069355A"/>
    <w:rsid w:val="00695C91"/>
    <w:rsid w:val="006A001C"/>
    <w:rsid w:val="006A0F83"/>
    <w:rsid w:val="006A225F"/>
    <w:rsid w:val="006A7CB2"/>
    <w:rsid w:val="006B1073"/>
    <w:rsid w:val="006B42B2"/>
    <w:rsid w:val="006B7590"/>
    <w:rsid w:val="006C06B5"/>
    <w:rsid w:val="006C24B8"/>
    <w:rsid w:val="006D4C22"/>
    <w:rsid w:val="006D6565"/>
    <w:rsid w:val="006E1005"/>
    <w:rsid w:val="006E2519"/>
    <w:rsid w:val="006E3835"/>
    <w:rsid w:val="006E5F26"/>
    <w:rsid w:val="006E6BDA"/>
    <w:rsid w:val="006F19DC"/>
    <w:rsid w:val="006F2BF0"/>
    <w:rsid w:val="0070028A"/>
    <w:rsid w:val="007007CB"/>
    <w:rsid w:val="00702E38"/>
    <w:rsid w:val="00704D5B"/>
    <w:rsid w:val="00706DC3"/>
    <w:rsid w:val="00707818"/>
    <w:rsid w:val="007119D3"/>
    <w:rsid w:val="00716352"/>
    <w:rsid w:val="007212A2"/>
    <w:rsid w:val="00722493"/>
    <w:rsid w:val="00724C93"/>
    <w:rsid w:val="0072529C"/>
    <w:rsid w:val="007255E0"/>
    <w:rsid w:val="0073192D"/>
    <w:rsid w:val="00737B5B"/>
    <w:rsid w:val="007410A2"/>
    <w:rsid w:val="0074273D"/>
    <w:rsid w:val="0074376F"/>
    <w:rsid w:val="007465C0"/>
    <w:rsid w:val="00766D30"/>
    <w:rsid w:val="007702D9"/>
    <w:rsid w:val="00771B7A"/>
    <w:rsid w:val="00772675"/>
    <w:rsid w:val="00774E8F"/>
    <w:rsid w:val="00780429"/>
    <w:rsid w:val="00781026"/>
    <w:rsid w:val="00781CEF"/>
    <w:rsid w:val="0078295A"/>
    <w:rsid w:val="0078350A"/>
    <w:rsid w:val="007868A5"/>
    <w:rsid w:val="00786EFF"/>
    <w:rsid w:val="00787CA7"/>
    <w:rsid w:val="00790814"/>
    <w:rsid w:val="00790D39"/>
    <w:rsid w:val="00793091"/>
    <w:rsid w:val="007A1517"/>
    <w:rsid w:val="007A5955"/>
    <w:rsid w:val="007B7D36"/>
    <w:rsid w:val="007C4BE7"/>
    <w:rsid w:val="007C58E3"/>
    <w:rsid w:val="007C6583"/>
    <w:rsid w:val="007D3133"/>
    <w:rsid w:val="007D5089"/>
    <w:rsid w:val="007D6798"/>
    <w:rsid w:val="007D7201"/>
    <w:rsid w:val="007D74B4"/>
    <w:rsid w:val="007D7ACC"/>
    <w:rsid w:val="007E0C4D"/>
    <w:rsid w:val="007E2061"/>
    <w:rsid w:val="007F12CD"/>
    <w:rsid w:val="007F5415"/>
    <w:rsid w:val="00802249"/>
    <w:rsid w:val="00803630"/>
    <w:rsid w:val="00803F9D"/>
    <w:rsid w:val="00805EBF"/>
    <w:rsid w:val="008067A6"/>
    <w:rsid w:val="00807D4A"/>
    <w:rsid w:val="00810546"/>
    <w:rsid w:val="00815344"/>
    <w:rsid w:val="0081569B"/>
    <w:rsid w:val="00821547"/>
    <w:rsid w:val="00821986"/>
    <w:rsid w:val="00822B9B"/>
    <w:rsid w:val="00822E19"/>
    <w:rsid w:val="00823132"/>
    <w:rsid w:val="00831CBD"/>
    <w:rsid w:val="008345C1"/>
    <w:rsid w:val="008434C0"/>
    <w:rsid w:val="00846D89"/>
    <w:rsid w:val="0084735E"/>
    <w:rsid w:val="008479E2"/>
    <w:rsid w:val="00850525"/>
    <w:rsid w:val="008507A2"/>
    <w:rsid w:val="008544EB"/>
    <w:rsid w:val="00855894"/>
    <w:rsid w:val="00860705"/>
    <w:rsid w:val="00860F8F"/>
    <w:rsid w:val="008659B1"/>
    <w:rsid w:val="008677F5"/>
    <w:rsid w:val="0087009A"/>
    <w:rsid w:val="00871272"/>
    <w:rsid w:val="00874309"/>
    <w:rsid w:val="00881E34"/>
    <w:rsid w:val="00883699"/>
    <w:rsid w:val="00886BCA"/>
    <w:rsid w:val="0088742D"/>
    <w:rsid w:val="0089082F"/>
    <w:rsid w:val="00891748"/>
    <w:rsid w:val="00893F85"/>
    <w:rsid w:val="00896C32"/>
    <w:rsid w:val="00897234"/>
    <w:rsid w:val="008A11C8"/>
    <w:rsid w:val="008A302A"/>
    <w:rsid w:val="008B2AF1"/>
    <w:rsid w:val="008B4A95"/>
    <w:rsid w:val="008B5C50"/>
    <w:rsid w:val="008C0CFB"/>
    <w:rsid w:val="008C2AE0"/>
    <w:rsid w:val="008C5FA2"/>
    <w:rsid w:val="008D4EA7"/>
    <w:rsid w:val="008E1B3E"/>
    <w:rsid w:val="008E4EF4"/>
    <w:rsid w:val="008E50AE"/>
    <w:rsid w:val="008E7A51"/>
    <w:rsid w:val="008F35C1"/>
    <w:rsid w:val="008F370F"/>
    <w:rsid w:val="008F6ABB"/>
    <w:rsid w:val="00901843"/>
    <w:rsid w:val="00904E52"/>
    <w:rsid w:val="00907882"/>
    <w:rsid w:val="00910840"/>
    <w:rsid w:val="00911477"/>
    <w:rsid w:val="00912EE6"/>
    <w:rsid w:val="00914075"/>
    <w:rsid w:val="00922387"/>
    <w:rsid w:val="00927905"/>
    <w:rsid w:val="00930FC0"/>
    <w:rsid w:val="00931EBA"/>
    <w:rsid w:val="009323BB"/>
    <w:rsid w:val="009346EA"/>
    <w:rsid w:val="00934FB5"/>
    <w:rsid w:val="00936212"/>
    <w:rsid w:val="0094022F"/>
    <w:rsid w:val="0094042F"/>
    <w:rsid w:val="009428ED"/>
    <w:rsid w:val="00943062"/>
    <w:rsid w:val="00945E1E"/>
    <w:rsid w:val="00946FD8"/>
    <w:rsid w:val="00953E04"/>
    <w:rsid w:val="0095538C"/>
    <w:rsid w:val="00955B67"/>
    <w:rsid w:val="0095669B"/>
    <w:rsid w:val="009600E5"/>
    <w:rsid w:val="009658CF"/>
    <w:rsid w:val="00967757"/>
    <w:rsid w:val="00971FE0"/>
    <w:rsid w:val="00972EEE"/>
    <w:rsid w:val="00973DDF"/>
    <w:rsid w:val="00983545"/>
    <w:rsid w:val="00983CB5"/>
    <w:rsid w:val="00983F90"/>
    <w:rsid w:val="00984B8F"/>
    <w:rsid w:val="0099053C"/>
    <w:rsid w:val="00993AC7"/>
    <w:rsid w:val="00993B91"/>
    <w:rsid w:val="009A1750"/>
    <w:rsid w:val="009A23C4"/>
    <w:rsid w:val="009B04E1"/>
    <w:rsid w:val="009B09A5"/>
    <w:rsid w:val="009B0ADB"/>
    <w:rsid w:val="009B4216"/>
    <w:rsid w:val="009B620B"/>
    <w:rsid w:val="009C223B"/>
    <w:rsid w:val="009C3221"/>
    <w:rsid w:val="009C4082"/>
    <w:rsid w:val="009C6678"/>
    <w:rsid w:val="009D776D"/>
    <w:rsid w:val="009E7DCA"/>
    <w:rsid w:val="009F3587"/>
    <w:rsid w:val="009F432A"/>
    <w:rsid w:val="009F7243"/>
    <w:rsid w:val="00A04D5A"/>
    <w:rsid w:val="00A06ABD"/>
    <w:rsid w:val="00A1688E"/>
    <w:rsid w:val="00A17827"/>
    <w:rsid w:val="00A222DE"/>
    <w:rsid w:val="00A23416"/>
    <w:rsid w:val="00A2345F"/>
    <w:rsid w:val="00A311EA"/>
    <w:rsid w:val="00A343AC"/>
    <w:rsid w:val="00A34D99"/>
    <w:rsid w:val="00A363A3"/>
    <w:rsid w:val="00A40A9B"/>
    <w:rsid w:val="00A437FF"/>
    <w:rsid w:val="00A5311C"/>
    <w:rsid w:val="00A53793"/>
    <w:rsid w:val="00A5554A"/>
    <w:rsid w:val="00A61024"/>
    <w:rsid w:val="00A61071"/>
    <w:rsid w:val="00A61585"/>
    <w:rsid w:val="00A65F01"/>
    <w:rsid w:val="00A74C5A"/>
    <w:rsid w:val="00A801D2"/>
    <w:rsid w:val="00A83899"/>
    <w:rsid w:val="00A854F5"/>
    <w:rsid w:val="00A86F74"/>
    <w:rsid w:val="00A91495"/>
    <w:rsid w:val="00A97032"/>
    <w:rsid w:val="00AA5E05"/>
    <w:rsid w:val="00AB058F"/>
    <w:rsid w:val="00AB4652"/>
    <w:rsid w:val="00AC0607"/>
    <w:rsid w:val="00AC2EFF"/>
    <w:rsid w:val="00AC4C34"/>
    <w:rsid w:val="00AC7086"/>
    <w:rsid w:val="00AD3539"/>
    <w:rsid w:val="00AE5959"/>
    <w:rsid w:val="00AE695D"/>
    <w:rsid w:val="00AF25E7"/>
    <w:rsid w:val="00AF3DE4"/>
    <w:rsid w:val="00AF4F38"/>
    <w:rsid w:val="00B013D0"/>
    <w:rsid w:val="00B020EE"/>
    <w:rsid w:val="00B03EFE"/>
    <w:rsid w:val="00B052A2"/>
    <w:rsid w:val="00B054F7"/>
    <w:rsid w:val="00B127D0"/>
    <w:rsid w:val="00B16B34"/>
    <w:rsid w:val="00B21E9E"/>
    <w:rsid w:val="00B2684F"/>
    <w:rsid w:val="00B27435"/>
    <w:rsid w:val="00B32224"/>
    <w:rsid w:val="00B3544E"/>
    <w:rsid w:val="00B35C46"/>
    <w:rsid w:val="00B3607D"/>
    <w:rsid w:val="00B427BC"/>
    <w:rsid w:val="00B44A48"/>
    <w:rsid w:val="00B466EA"/>
    <w:rsid w:val="00B54FF5"/>
    <w:rsid w:val="00B559DF"/>
    <w:rsid w:val="00B57C0A"/>
    <w:rsid w:val="00B57C2E"/>
    <w:rsid w:val="00B631DD"/>
    <w:rsid w:val="00B66409"/>
    <w:rsid w:val="00B72F9F"/>
    <w:rsid w:val="00B80576"/>
    <w:rsid w:val="00B83771"/>
    <w:rsid w:val="00B86C2A"/>
    <w:rsid w:val="00B87735"/>
    <w:rsid w:val="00B92954"/>
    <w:rsid w:val="00B97FE1"/>
    <w:rsid w:val="00BB11B2"/>
    <w:rsid w:val="00BB39FB"/>
    <w:rsid w:val="00BB4052"/>
    <w:rsid w:val="00BB409E"/>
    <w:rsid w:val="00BB45E7"/>
    <w:rsid w:val="00BB477D"/>
    <w:rsid w:val="00BB7497"/>
    <w:rsid w:val="00BC159C"/>
    <w:rsid w:val="00BC53FD"/>
    <w:rsid w:val="00BC6FBA"/>
    <w:rsid w:val="00BD10B0"/>
    <w:rsid w:val="00BD5828"/>
    <w:rsid w:val="00BE2AA2"/>
    <w:rsid w:val="00BE35C7"/>
    <w:rsid w:val="00BE4957"/>
    <w:rsid w:val="00BE626C"/>
    <w:rsid w:val="00BF2FA4"/>
    <w:rsid w:val="00BF4832"/>
    <w:rsid w:val="00BF56D3"/>
    <w:rsid w:val="00BF77B6"/>
    <w:rsid w:val="00C01A37"/>
    <w:rsid w:val="00C02DA5"/>
    <w:rsid w:val="00C074E7"/>
    <w:rsid w:val="00C07E74"/>
    <w:rsid w:val="00C17759"/>
    <w:rsid w:val="00C210F4"/>
    <w:rsid w:val="00C300CD"/>
    <w:rsid w:val="00C31BDF"/>
    <w:rsid w:val="00C44BBA"/>
    <w:rsid w:val="00C450BF"/>
    <w:rsid w:val="00C456F2"/>
    <w:rsid w:val="00C46A5C"/>
    <w:rsid w:val="00C46DD6"/>
    <w:rsid w:val="00C47C6A"/>
    <w:rsid w:val="00C56C5D"/>
    <w:rsid w:val="00C8589E"/>
    <w:rsid w:val="00C85949"/>
    <w:rsid w:val="00C876C1"/>
    <w:rsid w:val="00C924FF"/>
    <w:rsid w:val="00C92AC4"/>
    <w:rsid w:val="00CA0564"/>
    <w:rsid w:val="00CA2A37"/>
    <w:rsid w:val="00CA2D32"/>
    <w:rsid w:val="00CA2EF5"/>
    <w:rsid w:val="00CA3FA3"/>
    <w:rsid w:val="00CA571F"/>
    <w:rsid w:val="00CB05B6"/>
    <w:rsid w:val="00CB48E3"/>
    <w:rsid w:val="00CB7DAD"/>
    <w:rsid w:val="00CC0206"/>
    <w:rsid w:val="00CC3519"/>
    <w:rsid w:val="00CD0B8D"/>
    <w:rsid w:val="00CE0505"/>
    <w:rsid w:val="00CF7FDA"/>
    <w:rsid w:val="00D0008D"/>
    <w:rsid w:val="00D1163F"/>
    <w:rsid w:val="00D11A5F"/>
    <w:rsid w:val="00D2172B"/>
    <w:rsid w:val="00D2328A"/>
    <w:rsid w:val="00D2514A"/>
    <w:rsid w:val="00D258A0"/>
    <w:rsid w:val="00D258F1"/>
    <w:rsid w:val="00D270D4"/>
    <w:rsid w:val="00D27D49"/>
    <w:rsid w:val="00D27E93"/>
    <w:rsid w:val="00D30D7E"/>
    <w:rsid w:val="00D31EDD"/>
    <w:rsid w:val="00D32946"/>
    <w:rsid w:val="00D33161"/>
    <w:rsid w:val="00D34A3B"/>
    <w:rsid w:val="00D40EA6"/>
    <w:rsid w:val="00D4730E"/>
    <w:rsid w:val="00D50E06"/>
    <w:rsid w:val="00D5298D"/>
    <w:rsid w:val="00D53267"/>
    <w:rsid w:val="00D567F8"/>
    <w:rsid w:val="00D6044C"/>
    <w:rsid w:val="00D63179"/>
    <w:rsid w:val="00D65917"/>
    <w:rsid w:val="00D712F4"/>
    <w:rsid w:val="00D73FAD"/>
    <w:rsid w:val="00D75764"/>
    <w:rsid w:val="00D768C4"/>
    <w:rsid w:val="00D7739C"/>
    <w:rsid w:val="00D91A60"/>
    <w:rsid w:val="00D93A44"/>
    <w:rsid w:val="00D94DB9"/>
    <w:rsid w:val="00D97CCF"/>
    <w:rsid w:val="00DB00A6"/>
    <w:rsid w:val="00DB1CA1"/>
    <w:rsid w:val="00DB35A8"/>
    <w:rsid w:val="00DB3E41"/>
    <w:rsid w:val="00DB4399"/>
    <w:rsid w:val="00DB4793"/>
    <w:rsid w:val="00DC0E23"/>
    <w:rsid w:val="00DC7484"/>
    <w:rsid w:val="00DD1B4B"/>
    <w:rsid w:val="00DD6234"/>
    <w:rsid w:val="00DD6708"/>
    <w:rsid w:val="00DD74B0"/>
    <w:rsid w:val="00DE108D"/>
    <w:rsid w:val="00DE376B"/>
    <w:rsid w:val="00DE4D50"/>
    <w:rsid w:val="00DE79B8"/>
    <w:rsid w:val="00DE7E26"/>
    <w:rsid w:val="00DE7FE0"/>
    <w:rsid w:val="00DF4637"/>
    <w:rsid w:val="00DF5E48"/>
    <w:rsid w:val="00E0011E"/>
    <w:rsid w:val="00E0175E"/>
    <w:rsid w:val="00E01D13"/>
    <w:rsid w:val="00E02A15"/>
    <w:rsid w:val="00E03310"/>
    <w:rsid w:val="00E11319"/>
    <w:rsid w:val="00E16BE2"/>
    <w:rsid w:val="00E217C1"/>
    <w:rsid w:val="00E23882"/>
    <w:rsid w:val="00E2608C"/>
    <w:rsid w:val="00E265FB"/>
    <w:rsid w:val="00E32172"/>
    <w:rsid w:val="00E340CF"/>
    <w:rsid w:val="00E37ED8"/>
    <w:rsid w:val="00E4059F"/>
    <w:rsid w:val="00E429A5"/>
    <w:rsid w:val="00E442FB"/>
    <w:rsid w:val="00E450A0"/>
    <w:rsid w:val="00E452CE"/>
    <w:rsid w:val="00E53586"/>
    <w:rsid w:val="00E57D51"/>
    <w:rsid w:val="00E611C9"/>
    <w:rsid w:val="00E66B9C"/>
    <w:rsid w:val="00E67A03"/>
    <w:rsid w:val="00E706E8"/>
    <w:rsid w:val="00E71819"/>
    <w:rsid w:val="00E745FA"/>
    <w:rsid w:val="00E7591D"/>
    <w:rsid w:val="00E842DB"/>
    <w:rsid w:val="00E91C1C"/>
    <w:rsid w:val="00E92762"/>
    <w:rsid w:val="00E9652A"/>
    <w:rsid w:val="00EA1186"/>
    <w:rsid w:val="00EA320C"/>
    <w:rsid w:val="00EA3864"/>
    <w:rsid w:val="00EA6359"/>
    <w:rsid w:val="00EB5263"/>
    <w:rsid w:val="00EB6DF3"/>
    <w:rsid w:val="00EB7910"/>
    <w:rsid w:val="00EC3D11"/>
    <w:rsid w:val="00EC6D93"/>
    <w:rsid w:val="00EE6F1E"/>
    <w:rsid w:val="00EF4D0D"/>
    <w:rsid w:val="00EF7575"/>
    <w:rsid w:val="00F01666"/>
    <w:rsid w:val="00F01A94"/>
    <w:rsid w:val="00F10F23"/>
    <w:rsid w:val="00F1285F"/>
    <w:rsid w:val="00F133AE"/>
    <w:rsid w:val="00F14829"/>
    <w:rsid w:val="00F14D8C"/>
    <w:rsid w:val="00F171BA"/>
    <w:rsid w:val="00F23018"/>
    <w:rsid w:val="00F23D74"/>
    <w:rsid w:val="00F3143C"/>
    <w:rsid w:val="00F339C9"/>
    <w:rsid w:val="00F33AB8"/>
    <w:rsid w:val="00F36897"/>
    <w:rsid w:val="00F4460F"/>
    <w:rsid w:val="00F469A9"/>
    <w:rsid w:val="00F51440"/>
    <w:rsid w:val="00F521CD"/>
    <w:rsid w:val="00F557B4"/>
    <w:rsid w:val="00F559BB"/>
    <w:rsid w:val="00F67ACD"/>
    <w:rsid w:val="00F74FE7"/>
    <w:rsid w:val="00F81920"/>
    <w:rsid w:val="00F8221A"/>
    <w:rsid w:val="00F8552D"/>
    <w:rsid w:val="00F85FF3"/>
    <w:rsid w:val="00F914C5"/>
    <w:rsid w:val="00FA0029"/>
    <w:rsid w:val="00FB61C3"/>
    <w:rsid w:val="00FB79DF"/>
    <w:rsid w:val="00FC263D"/>
    <w:rsid w:val="00FC2F99"/>
    <w:rsid w:val="00FC502A"/>
    <w:rsid w:val="00FC519D"/>
    <w:rsid w:val="00FC5880"/>
    <w:rsid w:val="00FD3885"/>
    <w:rsid w:val="00FD5E36"/>
    <w:rsid w:val="00FE039D"/>
    <w:rsid w:val="00FF1D9A"/>
    <w:rsid w:val="00FF59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477E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9">
    <w:name w:val="heading 9"/>
    <w:basedOn w:val="Normal"/>
    <w:next w:val="Normal"/>
    <w:link w:val="Ttulo9Car"/>
    <w:uiPriority w:val="9"/>
    <w:semiHidden/>
    <w:unhideWhenUsed/>
    <w:qFormat/>
    <w:rsid w:val="00156CB1"/>
    <w:pPr>
      <w:spacing w:before="320" w:after="100"/>
      <w:outlineLvl w:val="8"/>
    </w:pPr>
    <w:rPr>
      <w:rFonts w:ascii="Cambria" w:eastAsia="Times New Roman" w:hAnsi="Cambria" w:cs="Times New Roman"/>
      <w:i/>
      <w:iCs/>
      <w:color w:val="9BBB5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link w:val="SinespaciadoCar"/>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SinespaciadoCar">
    <w:name w:val="Sin espaciado Car"/>
    <w:link w:val="Sinespaciado"/>
    <w:uiPriority w:val="1"/>
    <w:rsid w:val="008479E2"/>
    <w:rPr>
      <w:rFonts w:eastAsiaTheme="minorEastAsia"/>
      <w:sz w:val="24"/>
      <w:szCs w:val="24"/>
      <w:lang w:val="es-ES_tradnl" w:eastAsia="es-ES"/>
    </w:rPr>
  </w:style>
  <w:style w:type="paragraph" w:styleId="Prrafodelista">
    <w:name w:val="List Paragraph"/>
    <w:basedOn w:val="Normal"/>
    <w:uiPriority w:val="34"/>
    <w:qFormat/>
    <w:rsid w:val="00D31EDD"/>
    <w:pPr>
      <w:ind w:left="720"/>
      <w:contextualSpacing/>
    </w:pPr>
  </w:style>
  <w:style w:type="character" w:styleId="Hipervnculo">
    <w:name w:val="Hyperlink"/>
    <w:basedOn w:val="Fuentedeprrafopredeter"/>
    <w:uiPriority w:val="99"/>
    <w:unhideWhenUsed/>
    <w:rsid w:val="0015610C"/>
    <w:rPr>
      <w:color w:val="0000FF" w:themeColor="hyperlink"/>
      <w:u w:val="single"/>
    </w:rPr>
  </w:style>
  <w:style w:type="table" w:styleId="Tablaconcuadrcula">
    <w:name w:val="Table Grid"/>
    <w:basedOn w:val="Tablanormal"/>
    <w:uiPriority w:val="59"/>
    <w:rsid w:val="001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71FE0"/>
    <w:rPr>
      <w:sz w:val="20"/>
      <w:szCs w:val="20"/>
    </w:rPr>
  </w:style>
  <w:style w:type="character" w:customStyle="1" w:styleId="TextonotapieCar">
    <w:name w:val="Texto nota pie Car"/>
    <w:basedOn w:val="Fuentedeprrafopredeter"/>
    <w:link w:val="Textonotapie"/>
    <w:uiPriority w:val="99"/>
    <w:rsid w:val="00971FE0"/>
    <w:rPr>
      <w:rFonts w:eastAsiaTheme="minorEastAsia"/>
      <w:sz w:val="20"/>
      <w:szCs w:val="20"/>
      <w:lang w:val="es-CO" w:eastAsia="es-ES"/>
    </w:rPr>
  </w:style>
  <w:style w:type="character" w:styleId="Refdenotaalpie">
    <w:name w:val="footnote reference"/>
    <w:basedOn w:val="Fuentedeprrafopredeter"/>
    <w:uiPriority w:val="99"/>
    <w:unhideWhenUsed/>
    <w:rsid w:val="00971FE0"/>
    <w:rPr>
      <w:vertAlign w:val="superscript"/>
    </w:rPr>
  </w:style>
  <w:style w:type="paragraph" w:styleId="NormalWeb">
    <w:name w:val="Normal (Web)"/>
    <w:basedOn w:val="Normal"/>
    <w:uiPriority w:val="99"/>
    <w:unhideWhenUsed/>
    <w:rsid w:val="009D776D"/>
    <w:pPr>
      <w:spacing w:before="100" w:beforeAutospacing="1" w:after="100" w:afterAutospacing="1"/>
    </w:pPr>
    <w:rPr>
      <w:rFonts w:ascii="Times New Roman" w:eastAsia="Times New Roman" w:hAnsi="Times New Roman" w:cs="Times New Roman"/>
      <w:lang w:eastAsia="es-CO"/>
    </w:rPr>
  </w:style>
  <w:style w:type="character" w:customStyle="1" w:styleId="apple-converted-space">
    <w:name w:val="apple-converted-space"/>
    <w:basedOn w:val="Fuentedeprrafopredeter"/>
    <w:rsid w:val="0087009A"/>
  </w:style>
  <w:style w:type="character" w:styleId="Refdecomentario">
    <w:name w:val="annotation reference"/>
    <w:basedOn w:val="Fuentedeprrafopredeter"/>
    <w:uiPriority w:val="99"/>
    <w:semiHidden/>
    <w:unhideWhenUsed/>
    <w:rsid w:val="00F559BB"/>
    <w:rPr>
      <w:sz w:val="16"/>
      <w:szCs w:val="16"/>
    </w:rPr>
  </w:style>
  <w:style w:type="paragraph" w:styleId="Textocomentario">
    <w:name w:val="annotation text"/>
    <w:basedOn w:val="Normal"/>
    <w:link w:val="TextocomentarioCar"/>
    <w:uiPriority w:val="99"/>
    <w:semiHidden/>
    <w:unhideWhenUsed/>
    <w:rsid w:val="00F559BB"/>
    <w:rPr>
      <w:sz w:val="20"/>
      <w:szCs w:val="20"/>
    </w:rPr>
  </w:style>
  <w:style w:type="character" w:customStyle="1" w:styleId="TextocomentarioCar">
    <w:name w:val="Texto comentario Car"/>
    <w:basedOn w:val="Fuentedeprrafopredeter"/>
    <w:link w:val="Textocomentario"/>
    <w:uiPriority w:val="99"/>
    <w:semiHidden/>
    <w:rsid w:val="00F559BB"/>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F559BB"/>
    <w:rPr>
      <w:b/>
      <w:bCs/>
    </w:rPr>
  </w:style>
  <w:style w:type="character" w:customStyle="1" w:styleId="AsuntodelcomentarioCar">
    <w:name w:val="Asunto del comentario Car"/>
    <w:basedOn w:val="TextocomentarioCar"/>
    <w:link w:val="Asuntodelcomentario"/>
    <w:uiPriority w:val="99"/>
    <w:semiHidden/>
    <w:rsid w:val="00F559BB"/>
    <w:rPr>
      <w:rFonts w:eastAsiaTheme="minorEastAsia"/>
      <w:b/>
      <w:bCs/>
      <w:sz w:val="20"/>
      <w:szCs w:val="20"/>
      <w:lang w:val="es-CO" w:eastAsia="es-ES"/>
    </w:rPr>
  </w:style>
  <w:style w:type="character" w:customStyle="1" w:styleId="Ttulo9Car">
    <w:name w:val="Título 9 Car"/>
    <w:basedOn w:val="Fuentedeprrafopredeter"/>
    <w:link w:val="Ttulo9"/>
    <w:uiPriority w:val="9"/>
    <w:semiHidden/>
    <w:rsid w:val="00156CB1"/>
    <w:rPr>
      <w:rFonts w:ascii="Cambria" w:eastAsia="Times New Roman" w:hAnsi="Cambria" w:cs="Times New Roman"/>
      <w:i/>
      <w:iCs/>
      <w:color w:val="9BBB59"/>
      <w:sz w:val="20"/>
      <w:szCs w:val="20"/>
      <w:lang w:val="es-CO" w:eastAsia="es-ES"/>
    </w:rPr>
  </w:style>
  <w:style w:type="paragraph" w:styleId="Textosinformato">
    <w:name w:val="Plain Text"/>
    <w:basedOn w:val="Normal"/>
    <w:link w:val="TextosinformatoCar"/>
    <w:uiPriority w:val="99"/>
    <w:semiHidden/>
    <w:unhideWhenUsed/>
    <w:rsid w:val="00072F29"/>
    <w:rPr>
      <w:rFonts w:ascii="Consolas" w:eastAsiaTheme="minorHAnsi" w:hAnsi="Consolas"/>
      <w:sz w:val="21"/>
      <w:szCs w:val="21"/>
      <w:lang w:eastAsia="en-US"/>
    </w:rPr>
  </w:style>
  <w:style w:type="character" w:customStyle="1" w:styleId="TextosinformatoCar">
    <w:name w:val="Texto sin formato Car"/>
    <w:basedOn w:val="Fuentedeprrafopredeter"/>
    <w:link w:val="Textosinformato"/>
    <w:uiPriority w:val="99"/>
    <w:semiHidden/>
    <w:rsid w:val="00072F29"/>
    <w:rPr>
      <w:rFonts w:ascii="Consolas" w:hAnsi="Consolas"/>
      <w:sz w:val="21"/>
      <w:szCs w:val="21"/>
      <w:lang w:val="es-CO"/>
    </w:rPr>
  </w:style>
  <w:style w:type="character" w:styleId="Textoennegrita">
    <w:name w:val="Strong"/>
    <w:basedOn w:val="Fuentedeprrafopredeter"/>
    <w:uiPriority w:val="22"/>
    <w:qFormat/>
    <w:rsid w:val="00C8589E"/>
    <w:rPr>
      <w:b/>
      <w:bCs/>
    </w:rPr>
  </w:style>
  <w:style w:type="paragraph" w:styleId="HTMLconformatoprevio">
    <w:name w:val="HTML Preformatted"/>
    <w:basedOn w:val="Normal"/>
    <w:link w:val="HTMLconformatoprevioCar"/>
    <w:uiPriority w:val="99"/>
    <w:unhideWhenUsed/>
    <w:rsid w:val="00E26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b/>
      <w:sz w:val="20"/>
      <w:szCs w:val="20"/>
      <w:lang w:eastAsia="es-CO"/>
    </w:rPr>
  </w:style>
  <w:style w:type="character" w:customStyle="1" w:styleId="HTMLconformatoprevioCar">
    <w:name w:val="HTML con formato previo Car"/>
    <w:basedOn w:val="Fuentedeprrafopredeter"/>
    <w:link w:val="HTMLconformatoprevio"/>
    <w:uiPriority w:val="99"/>
    <w:rsid w:val="00E265FB"/>
    <w:rPr>
      <w:rFonts w:ascii="Courier New" w:eastAsia="Times New Roman" w:hAnsi="Courier New" w:cs="Times New Roman"/>
      <w:b/>
      <w:sz w:val="20"/>
      <w:szCs w:val="20"/>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9">
    <w:name w:val="heading 9"/>
    <w:basedOn w:val="Normal"/>
    <w:next w:val="Normal"/>
    <w:link w:val="Ttulo9Car"/>
    <w:uiPriority w:val="9"/>
    <w:semiHidden/>
    <w:unhideWhenUsed/>
    <w:qFormat/>
    <w:rsid w:val="00156CB1"/>
    <w:pPr>
      <w:spacing w:before="320" w:after="100"/>
      <w:outlineLvl w:val="8"/>
    </w:pPr>
    <w:rPr>
      <w:rFonts w:ascii="Cambria" w:eastAsia="Times New Roman" w:hAnsi="Cambria" w:cs="Times New Roman"/>
      <w:i/>
      <w:iCs/>
      <w:color w:val="9BBB5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link w:val="SinespaciadoCar"/>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SinespaciadoCar">
    <w:name w:val="Sin espaciado Car"/>
    <w:link w:val="Sinespaciado"/>
    <w:uiPriority w:val="1"/>
    <w:rsid w:val="008479E2"/>
    <w:rPr>
      <w:rFonts w:eastAsiaTheme="minorEastAsia"/>
      <w:sz w:val="24"/>
      <w:szCs w:val="24"/>
      <w:lang w:val="es-ES_tradnl" w:eastAsia="es-ES"/>
    </w:rPr>
  </w:style>
  <w:style w:type="paragraph" w:styleId="Prrafodelista">
    <w:name w:val="List Paragraph"/>
    <w:basedOn w:val="Normal"/>
    <w:uiPriority w:val="34"/>
    <w:qFormat/>
    <w:rsid w:val="00D31EDD"/>
    <w:pPr>
      <w:ind w:left="720"/>
      <w:contextualSpacing/>
    </w:pPr>
  </w:style>
  <w:style w:type="character" w:styleId="Hipervnculo">
    <w:name w:val="Hyperlink"/>
    <w:basedOn w:val="Fuentedeprrafopredeter"/>
    <w:uiPriority w:val="99"/>
    <w:unhideWhenUsed/>
    <w:rsid w:val="0015610C"/>
    <w:rPr>
      <w:color w:val="0000FF" w:themeColor="hyperlink"/>
      <w:u w:val="single"/>
    </w:rPr>
  </w:style>
  <w:style w:type="table" w:styleId="Tablaconcuadrcula">
    <w:name w:val="Table Grid"/>
    <w:basedOn w:val="Tablanormal"/>
    <w:uiPriority w:val="59"/>
    <w:rsid w:val="001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71FE0"/>
    <w:rPr>
      <w:sz w:val="20"/>
      <w:szCs w:val="20"/>
    </w:rPr>
  </w:style>
  <w:style w:type="character" w:customStyle="1" w:styleId="TextonotapieCar">
    <w:name w:val="Texto nota pie Car"/>
    <w:basedOn w:val="Fuentedeprrafopredeter"/>
    <w:link w:val="Textonotapie"/>
    <w:uiPriority w:val="99"/>
    <w:rsid w:val="00971FE0"/>
    <w:rPr>
      <w:rFonts w:eastAsiaTheme="minorEastAsia"/>
      <w:sz w:val="20"/>
      <w:szCs w:val="20"/>
      <w:lang w:val="es-CO" w:eastAsia="es-ES"/>
    </w:rPr>
  </w:style>
  <w:style w:type="character" w:styleId="Refdenotaalpie">
    <w:name w:val="footnote reference"/>
    <w:basedOn w:val="Fuentedeprrafopredeter"/>
    <w:uiPriority w:val="99"/>
    <w:unhideWhenUsed/>
    <w:rsid w:val="00971FE0"/>
    <w:rPr>
      <w:vertAlign w:val="superscript"/>
    </w:rPr>
  </w:style>
  <w:style w:type="paragraph" w:styleId="NormalWeb">
    <w:name w:val="Normal (Web)"/>
    <w:basedOn w:val="Normal"/>
    <w:uiPriority w:val="99"/>
    <w:unhideWhenUsed/>
    <w:rsid w:val="009D776D"/>
    <w:pPr>
      <w:spacing w:before="100" w:beforeAutospacing="1" w:after="100" w:afterAutospacing="1"/>
    </w:pPr>
    <w:rPr>
      <w:rFonts w:ascii="Times New Roman" w:eastAsia="Times New Roman" w:hAnsi="Times New Roman" w:cs="Times New Roman"/>
      <w:lang w:eastAsia="es-CO"/>
    </w:rPr>
  </w:style>
  <w:style w:type="character" w:customStyle="1" w:styleId="apple-converted-space">
    <w:name w:val="apple-converted-space"/>
    <w:basedOn w:val="Fuentedeprrafopredeter"/>
    <w:rsid w:val="0087009A"/>
  </w:style>
  <w:style w:type="character" w:styleId="Refdecomentario">
    <w:name w:val="annotation reference"/>
    <w:basedOn w:val="Fuentedeprrafopredeter"/>
    <w:uiPriority w:val="99"/>
    <w:semiHidden/>
    <w:unhideWhenUsed/>
    <w:rsid w:val="00F559BB"/>
    <w:rPr>
      <w:sz w:val="16"/>
      <w:szCs w:val="16"/>
    </w:rPr>
  </w:style>
  <w:style w:type="paragraph" w:styleId="Textocomentario">
    <w:name w:val="annotation text"/>
    <w:basedOn w:val="Normal"/>
    <w:link w:val="TextocomentarioCar"/>
    <w:uiPriority w:val="99"/>
    <w:semiHidden/>
    <w:unhideWhenUsed/>
    <w:rsid w:val="00F559BB"/>
    <w:rPr>
      <w:sz w:val="20"/>
      <w:szCs w:val="20"/>
    </w:rPr>
  </w:style>
  <w:style w:type="character" w:customStyle="1" w:styleId="TextocomentarioCar">
    <w:name w:val="Texto comentario Car"/>
    <w:basedOn w:val="Fuentedeprrafopredeter"/>
    <w:link w:val="Textocomentario"/>
    <w:uiPriority w:val="99"/>
    <w:semiHidden/>
    <w:rsid w:val="00F559BB"/>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F559BB"/>
    <w:rPr>
      <w:b/>
      <w:bCs/>
    </w:rPr>
  </w:style>
  <w:style w:type="character" w:customStyle="1" w:styleId="AsuntodelcomentarioCar">
    <w:name w:val="Asunto del comentario Car"/>
    <w:basedOn w:val="TextocomentarioCar"/>
    <w:link w:val="Asuntodelcomentario"/>
    <w:uiPriority w:val="99"/>
    <w:semiHidden/>
    <w:rsid w:val="00F559BB"/>
    <w:rPr>
      <w:rFonts w:eastAsiaTheme="minorEastAsia"/>
      <w:b/>
      <w:bCs/>
      <w:sz w:val="20"/>
      <w:szCs w:val="20"/>
      <w:lang w:val="es-CO" w:eastAsia="es-ES"/>
    </w:rPr>
  </w:style>
  <w:style w:type="character" w:customStyle="1" w:styleId="Ttulo9Car">
    <w:name w:val="Título 9 Car"/>
    <w:basedOn w:val="Fuentedeprrafopredeter"/>
    <w:link w:val="Ttulo9"/>
    <w:uiPriority w:val="9"/>
    <w:semiHidden/>
    <w:rsid w:val="00156CB1"/>
    <w:rPr>
      <w:rFonts w:ascii="Cambria" w:eastAsia="Times New Roman" w:hAnsi="Cambria" w:cs="Times New Roman"/>
      <w:i/>
      <w:iCs/>
      <w:color w:val="9BBB59"/>
      <w:sz w:val="20"/>
      <w:szCs w:val="20"/>
      <w:lang w:val="es-CO" w:eastAsia="es-ES"/>
    </w:rPr>
  </w:style>
  <w:style w:type="paragraph" w:styleId="Textosinformato">
    <w:name w:val="Plain Text"/>
    <w:basedOn w:val="Normal"/>
    <w:link w:val="TextosinformatoCar"/>
    <w:uiPriority w:val="99"/>
    <w:semiHidden/>
    <w:unhideWhenUsed/>
    <w:rsid w:val="00072F29"/>
    <w:rPr>
      <w:rFonts w:ascii="Consolas" w:eastAsiaTheme="minorHAnsi" w:hAnsi="Consolas"/>
      <w:sz w:val="21"/>
      <w:szCs w:val="21"/>
      <w:lang w:eastAsia="en-US"/>
    </w:rPr>
  </w:style>
  <w:style w:type="character" w:customStyle="1" w:styleId="TextosinformatoCar">
    <w:name w:val="Texto sin formato Car"/>
    <w:basedOn w:val="Fuentedeprrafopredeter"/>
    <w:link w:val="Textosinformato"/>
    <w:uiPriority w:val="99"/>
    <w:semiHidden/>
    <w:rsid w:val="00072F29"/>
    <w:rPr>
      <w:rFonts w:ascii="Consolas" w:hAnsi="Consolas"/>
      <w:sz w:val="21"/>
      <w:szCs w:val="21"/>
      <w:lang w:val="es-CO"/>
    </w:rPr>
  </w:style>
  <w:style w:type="character" w:styleId="Textoennegrita">
    <w:name w:val="Strong"/>
    <w:basedOn w:val="Fuentedeprrafopredeter"/>
    <w:uiPriority w:val="22"/>
    <w:qFormat/>
    <w:rsid w:val="00C8589E"/>
    <w:rPr>
      <w:b/>
      <w:bCs/>
    </w:rPr>
  </w:style>
  <w:style w:type="paragraph" w:styleId="HTMLconformatoprevio">
    <w:name w:val="HTML Preformatted"/>
    <w:basedOn w:val="Normal"/>
    <w:link w:val="HTMLconformatoprevioCar"/>
    <w:uiPriority w:val="99"/>
    <w:unhideWhenUsed/>
    <w:rsid w:val="00E26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b/>
      <w:sz w:val="20"/>
      <w:szCs w:val="20"/>
      <w:lang w:eastAsia="es-CO"/>
    </w:rPr>
  </w:style>
  <w:style w:type="character" w:customStyle="1" w:styleId="HTMLconformatoprevioCar">
    <w:name w:val="HTML con formato previo Car"/>
    <w:basedOn w:val="Fuentedeprrafopredeter"/>
    <w:link w:val="HTMLconformatoprevio"/>
    <w:uiPriority w:val="99"/>
    <w:rsid w:val="00E265FB"/>
    <w:rPr>
      <w:rFonts w:ascii="Courier New" w:eastAsia="Times New Roman" w:hAnsi="Courier New" w:cs="Times New Roman"/>
      <w:b/>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3071">
      <w:bodyDiv w:val="1"/>
      <w:marLeft w:val="0"/>
      <w:marRight w:val="0"/>
      <w:marTop w:val="0"/>
      <w:marBottom w:val="0"/>
      <w:divBdr>
        <w:top w:val="none" w:sz="0" w:space="0" w:color="auto"/>
        <w:left w:val="none" w:sz="0" w:space="0" w:color="auto"/>
        <w:bottom w:val="none" w:sz="0" w:space="0" w:color="auto"/>
        <w:right w:val="none" w:sz="0" w:space="0" w:color="auto"/>
      </w:divBdr>
    </w:div>
    <w:div w:id="164437682">
      <w:bodyDiv w:val="1"/>
      <w:marLeft w:val="0"/>
      <w:marRight w:val="0"/>
      <w:marTop w:val="0"/>
      <w:marBottom w:val="0"/>
      <w:divBdr>
        <w:top w:val="none" w:sz="0" w:space="0" w:color="auto"/>
        <w:left w:val="none" w:sz="0" w:space="0" w:color="auto"/>
        <w:bottom w:val="none" w:sz="0" w:space="0" w:color="auto"/>
        <w:right w:val="none" w:sz="0" w:space="0" w:color="auto"/>
      </w:divBdr>
      <w:divsChild>
        <w:div w:id="823085800">
          <w:marLeft w:val="0"/>
          <w:marRight w:val="0"/>
          <w:marTop w:val="0"/>
          <w:marBottom w:val="0"/>
          <w:divBdr>
            <w:top w:val="none" w:sz="0" w:space="0" w:color="auto"/>
            <w:left w:val="none" w:sz="0" w:space="0" w:color="auto"/>
            <w:bottom w:val="none" w:sz="0" w:space="0" w:color="auto"/>
            <w:right w:val="none" w:sz="0" w:space="0" w:color="auto"/>
          </w:divBdr>
          <w:divsChild>
            <w:div w:id="1115565013">
              <w:marLeft w:val="0"/>
              <w:marRight w:val="0"/>
              <w:marTop w:val="0"/>
              <w:marBottom w:val="0"/>
              <w:divBdr>
                <w:top w:val="none" w:sz="0" w:space="0" w:color="auto"/>
                <w:left w:val="none" w:sz="0" w:space="0" w:color="auto"/>
                <w:bottom w:val="none" w:sz="0" w:space="0" w:color="auto"/>
                <w:right w:val="none" w:sz="0" w:space="0" w:color="auto"/>
              </w:divBdr>
              <w:divsChild>
                <w:div w:id="369689342">
                  <w:marLeft w:val="0"/>
                  <w:marRight w:val="0"/>
                  <w:marTop w:val="0"/>
                  <w:marBottom w:val="0"/>
                  <w:divBdr>
                    <w:top w:val="none" w:sz="0" w:space="0" w:color="auto"/>
                    <w:left w:val="none" w:sz="0" w:space="0" w:color="auto"/>
                    <w:bottom w:val="none" w:sz="0" w:space="0" w:color="auto"/>
                    <w:right w:val="none" w:sz="0" w:space="0" w:color="auto"/>
                  </w:divBdr>
                  <w:divsChild>
                    <w:div w:id="746807990">
                      <w:marLeft w:val="0"/>
                      <w:marRight w:val="0"/>
                      <w:marTop w:val="0"/>
                      <w:marBottom w:val="0"/>
                      <w:divBdr>
                        <w:top w:val="none" w:sz="0" w:space="0" w:color="auto"/>
                        <w:left w:val="none" w:sz="0" w:space="0" w:color="auto"/>
                        <w:bottom w:val="none" w:sz="0" w:space="0" w:color="auto"/>
                        <w:right w:val="none" w:sz="0" w:space="0" w:color="auto"/>
                      </w:divBdr>
                      <w:divsChild>
                        <w:div w:id="1787458673">
                          <w:marLeft w:val="0"/>
                          <w:marRight w:val="0"/>
                          <w:marTop w:val="0"/>
                          <w:marBottom w:val="0"/>
                          <w:divBdr>
                            <w:top w:val="none" w:sz="0" w:space="0" w:color="auto"/>
                            <w:left w:val="none" w:sz="0" w:space="0" w:color="auto"/>
                            <w:bottom w:val="none" w:sz="0" w:space="0" w:color="auto"/>
                            <w:right w:val="none" w:sz="0" w:space="0" w:color="auto"/>
                          </w:divBdr>
                          <w:divsChild>
                            <w:div w:id="570624774">
                              <w:marLeft w:val="0"/>
                              <w:marRight w:val="0"/>
                              <w:marTop w:val="0"/>
                              <w:marBottom w:val="0"/>
                              <w:divBdr>
                                <w:top w:val="none" w:sz="0" w:space="0" w:color="auto"/>
                                <w:left w:val="none" w:sz="0" w:space="0" w:color="auto"/>
                                <w:bottom w:val="none" w:sz="0" w:space="0" w:color="auto"/>
                                <w:right w:val="none" w:sz="0" w:space="0" w:color="auto"/>
                              </w:divBdr>
                              <w:divsChild>
                                <w:div w:id="1817989800">
                                  <w:marLeft w:val="0"/>
                                  <w:marRight w:val="0"/>
                                  <w:marTop w:val="0"/>
                                  <w:marBottom w:val="0"/>
                                  <w:divBdr>
                                    <w:top w:val="none" w:sz="0" w:space="0" w:color="auto"/>
                                    <w:left w:val="none" w:sz="0" w:space="0" w:color="auto"/>
                                    <w:bottom w:val="none" w:sz="0" w:space="0" w:color="auto"/>
                                    <w:right w:val="none" w:sz="0" w:space="0" w:color="auto"/>
                                  </w:divBdr>
                                  <w:divsChild>
                                    <w:div w:id="930352275">
                                      <w:marLeft w:val="0"/>
                                      <w:marRight w:val="0"/>
                                      <w:marTop w:val="0"/>
                                      <w:marBottom w:val="0"/>
                                      <w:divBdr>
                                        <w:top w:val="none" w:sz="0" w:space="0" w:color="auto"/>
                                        <w:left w:val="none" w:sz="0" w:space="0" w:color="auto"/>
                                        <w:bottom w:val="none" w:sz="0" w:space="0" w:color="auto"/>
                                        <w:right w:val="none" w:sz="0" w:space="0" w:color="auto"/>
                                      </w:divBdr>
                                      <w:divsChild>
                                        <w:div w:id="1928878935">
                                          <w:marLeft w:val="0"/>
                                          <w:marRight w:val="0"/>
                                          <w:marTop w:val="0"/>
                                          <w:marBottom w:val="0"/>
                                          <w:divBdr>
                                            <w:top w:val="none" w:sz="0" w:space="0" w:color="auto"/>
                                            <w:left w:val="none" w:sz="0" w:space="0" w:color="auto"/>
                                            <w:bottom w:val="none" w:sz="0" w:space="0" w:color="auto"/>
                                            <w:right w:val="none" w:sz="0" w:space="0" w:color="auto"/>
                                          </w:divBdr>
                                          <w:divsChild>
                                            <w:div w:id="1752657474">
                                              <w:marLeft w:val="0"/>
                                              <w:marRight w:val="0"/>
                                              <w:marTop w:val="0"/>
                                              <w:marBottom w:val="0"/>
                                              <w:divBdr>
                                                <w:top w:val="none" w:sz="0" w:space="0" w:color="auto"/>
                                                <w:left w:val="none" w:sz="0" w:space="0" w:color="auto"/>
                                                <w:bottom w:val="none" w:sz="0" w:space="0" w:color="auto"/>
                                                <w:right w:val="none" w:sz="0" w:space="0" w:color="auto"/>
                                              </w:divBdr>
                                              <w:divsChild>
                                                <w:div w:id="151338938">
                                                  <w:marLeft w:val="0"/>
                                                  <w:marRight w:val="0"/>
                                                  <w:marTop w:val="0"/>
                                                  <w:marBottom w:val="0"/>
                                                  <w:divBdr>
                                                    <w:top w:val="none" w:sz="0" w:space="0" w:color="auto"/>
                                                    <w:left w:val="none" w:sz="0" w:space="0" w:color="auto"/>
                                                    <w:bottom w:val="none" w:sz="0" w:space="0" w:color="auto"/>
                                                    <w:right w:val="none" w:sz="0" w:space="0" w:color="auto"/>
                                                  </w:divBdr>
                                                  <w:divsChild>
                                                    <w:div w:id="12873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226646768">
      <w:bodyDiv w:val="1"/>
      <w:marLeft w:val="0"/>
      <w:marRight w:val="0"/>
      <w:marTop w:val="0"/>
      <w:marBottom w:val="0"/>
      <w:divBdr>
        <w:top w:val="none" w:sz="0" w:space="0" w:color="auto"/>
        <w:left w:val="none" w:sz="0" w:space="0" w:color="auto"/>
        <w:bottom w:val="none" w:sz="0" w:space="0" w:color="auto"/>
        <w:right w:val="none" w:sz="0" w:space="0" w:color="auto"/>
      </w:divBdr>
    </w:div>
    <w:div w:id="249848781">
      <w:bodyDiv w:val="1"/>
      <w:marLeft w:val="0"/>
      <w:marRight w:val="0"/>
      <w:marTop w:val="0"/>
      <w:marBottom w:val="0"/>
      <w:divBdr>
        <w:top w:val="none" w:sz="0" w:space="0" w:color="auto"/>
        <w:left w:val="none" w:sz="0" w:space="0" w:color="auto"/>
        <w:bottom w:val="none" w:sz="0" w:space="0" w:color="auto"/>
        <w:right w:val="none" w:sz="0" w:space="0" w:color="auto"/>
      </w:divBdr>
    </w:div>
    <w:div w:id="591084556">
      <w:bodyDiv w:val="1"/>
      <w:marLeft w:val="0"/>
      <w:marRight w:val="0"/>
      <w:marTop w:val="0"/>
      <w:marBottom w:val="0"/>
      <w:divBdr>
        <w:top w:val="none" w:sz="0" w:space="0" w:color="auto"/>
        <w:left w:val="none" w:sz="0" w:space="0" w:color="auto"/>
        <w:bottom w:val="none" w:sz="0" w:space="0" w:color="auto"/>
        <w:right w:val="none" w:sz="0" w:space="0" w:color="auto"/>
      </w:divBdr>
    </w:div>
    <w:div w:id="628169129">
      <w:bodyDiv w:val="1"/>
      <w:marLeft w:val="0"/>
      <w:marRight w:val="0"/>
      <w:marTop w:val="0"/>
      <w:marBottom w:val="0"/>
      <w:divBdr>
        <w:top w:val="none" w:sz="0" w:space="0" w:color="auto"/>
        <w:left w:val="none" w:sz="0" w:space="0" w:color="auto"/>
        <w:bottom w:val="none" w:sz="0" w:space="0" w:color="auto"/>
        <w:right w:val="none" w:sz="0" w:space="0" w:color="auto"/>
      </w:divBdr>
    </w:div>
    <w:div w:id="838885901">
      <w:bodyDiv w:val="1"/>
      <w:marLeft w:val="0"/>
      <w:marRight w:val="0"/>
      <w:marTop w:val="0"/>
      <w:marBottom w:val="0"/>
      <w:divBdr>
        <w:top w:val="none" w:sz="0" w:space="0" w:color="auto"/>
        <w:left w:val="none" w:sz="0" w:space="0" w:color="auto"/>
        <w:bottom w:val="none" w:sz="0" w:space="0" w:color="auto"/>
        <w:right w:val="none" w:sz="0" w:space="0" w:color="auto"/>
      </w:divBdr>
    </w:div>
    <w:div w:id="964428605">
      <w:bodyDiv w:val="1"/>
      <w:marLeft w:val="0"/>
      <w:marRight w:val="0"/>
      <w:marTop w:val="0"/>
      <w:marBottom w:val="0"/>
      <w:divBdr>
        <w:top w:val="none" w:sz="0" w:space="0" w:color="auto"/>
        <w:left w:val="none" w:sz="0" w:space="0" w:color="auto"/>
        <w:bottom w:val="none" w:sz="0" w:space="0" w:color="auto"/>
        <w:right w:val="none" w:sz="0" w:space="0" w:color="auto"/>
      </w:divBdr>
    </w:div>
    <w:div w:id="1035040864">
      <w:bodyDiv w:val="1"/>
      <w:marLeft w:val="0"/>
      <w:marRight w:val="0"/>
      <w:marTop w:val="0"/>
      <w:marBottom w:val="0"/>
      <w:divBdr>
        <w:top w:val="none" w:sz="0" w:space="0" w:color="auto"/>
        <w:left w:val="none" w:sz="0" w:space="0" w:color="auto"/>
        <w:bottom w:val="none" w:sz="0" w:space="0" w:color="auto"/>
        <w:right w:val="none" w:sz="0" w:space="0" w:color="auto"/>
      </w:divBdr>
    </w:div>
    <w:div w:id="1093474344">
      <w:bodyDiv w:val="1"/>
      <w:marLeft w:val="0"/>
      <w:marRight w:val="0"/>
      <w:marTop w:val="0"/>
      <w:marBottom w:val="0"/>
      <w:divBdr>
        <w:top w:val="none" w:sz="0" w:space="0" w:color="auto"/>
        <w:left w:val="none" w:sz="0" w:space="0" w:color="auto"/>
        <w:bottom w:val="none" w:sz="0" w:space="0" w:color="auto"/>
        <w:right w:val="none" w:sz="0" w:space="0" w:color="auto"/>
      </w:divBdr>
    </w:div>
    <w:div w:id="1137259715">
      <w:bodyDiv w:val="1"/>
      <w:marLeft w:val="0"/>
      <w:marRight w:val="0"/>
      <w:marTop w:val="0"/>
      <w:marBottom w:val="0"/>
      <w:divBdr>
        <w:top w:val="none" w:sz="0" w:space="0" w:color="auto"/>
        <w:left w:val="none" w:sz="0" w:space="0" w:color="auto"/>
        <w:bottom w:val="none" w:sz="0" w:space="0" w:color="auto"/>
        <w:right w:val="none" w:sz="0" w:space="0" w:color="auto"/>
      </w:divBdr>
    </w:div>
    <w:div w:id="1137265597">
      <w:bodyDiv w:val="1"/>
      <w:marLeft w:val="0"/>
      <w:marRight w:val="0"/>
      <w:marTop w:val="0"/>
      <w:marBottom w:val="0"/>
      <w:divBdr>
        <w:top w:val="none" w:sz="0" w:space="0" w:color="auto"/>
        <w:left w:val="none" w:sz="0" w:space="0" w:color="auto"/>
        <w:bottom w:val="none" w:sz="0" w:space="0" w:color="auto"/>
        <w:right w:val="none" w:sz="0" w:space="0" w:color="auto"/>
      </w:divBdr>
    </w:div>
    <w:div w:id="1326979041">
      <w:bodyDiv w:val="1"/>
      <w:marLeft w:val="0"/>
      <w:marRight w:val="0"/>
      <w:marTop w:val="0"/>
      <w:marBottom w:val="0"/>
      <w:divBdr>
        <w:top w:val="none" w:sz="0" w:space="0" w:color="auto"/>
        <w:left w:val="none" w:sz="0" w:space="0" w:color="auto"/>
        <w:bottom w:val="none" w:sz="0" w:space="0" w:color="auto"/>
        <w:right w:val="none" w:sz="0" w:space="0" w:color="auto"/>
      </w:divBdr>
    </w:div>
    <w:div w:id="1346206154">
      <w:bodyDiv w:val="1"/>
      <w:marLeft w:val="0"/>
      <w:marRight w:val="0"/>
      <w:marTop w:val="0"/>
      <w:marBottom w:val="0"/>
      <w:divBdr>
        <w:top w:val="none" w:sz="0" w:space="0" w:color="auto"/>
        <w:left w:val="none" w:sz="0" w:space="0" w:color="auto"/>
        <w:bottom w:val="none" w:sz="0" w:space="0" w:color="auto"/>
        <w:right w:val="none" w:sz="0" w:space="0" w:color="auto"/>
      </w:divBdr>
    </w:div>
    <w:div w:id="1434016281">
      <w:bodyDiv w:val="1"/>
      <w:marLeft w:val="0"/>
      <w:marRight w:val="0"/>
      <w:marTop w:val="0"/>
      <w:marBottom w:val="0"/>
      <w:divBdr>
        <w:top w:val="none" w:sz="0" w:space="0" w:color="auto"/>
        <w:left w:val="none" w:sz="0" w:space="0" w:color="auto"/>
        <w:bottom w:val="none" w:sz="0" w:space="0" w:color="auto"/>
        <w:right w:val="none" w:sz="0" w:space="0" w:color="auto"/>
      </w:divBdr>
    </w:div>
    <w:div w:id="1467701105">
      <w:bodyDiv w:val="1"/>
      <w:marLeft w:val="0"/>
      <w:marRight w:val="0"/>
      <w:marTop w:val="0"/>
      <w:marBottom w:val="0"/>
      <w:divBdr>
        <w:top w:val="none" w:sz="0" w:space="0" w:color="auto"/>
        <w:left w:val="none" w:sz="0" w:space="0" w:color="auto"/>
        <w:bottom w:val="none" w:sz="0" w:space="0" w:color="auto"/>
        <w:right w:val="none" w:sz="0" w:space="0" w:color="auto"/>
      </w:divBdr>
    </w:div>
    <w:div w:id="1641301601">
      <w:bodyDiv w:val="1"/>
      <w:marLeft w:val="0"/>
      <w:marRight w:val="0"/>
      <w:marTop w:val="0"/>
      <w:marBottom w:val="0"/>
      <w:divBdr>
        <w:top w:val="none" w:sz="0" w:space="0" w:color="auto"/>
        <w:left w:val="none" w:sz="0" w:space="0" w:color="auto"/>
        <w:bottom w:val="none" w:sz="0" w:space="0" w:color="auto"/>
        <w:right w:val="none" w:sz="0" w:space="0" w:color="auto"/>
      </w:divBdr>
    </w:div>
    <w:div w:id="1644889656">
      <w:bodyDiv w:val="1"/>
      <w:marLeft w:val="0"/>
      <w:marRight w:val="0"/>
      <w:marTop w:val="0"/>
      <w:marBottom w:val="0"/>
      <w:divBdr>
        <w:top w:val="none" w:sz="0" w:space="0" w:color="auto"/>
        <w:left w:val="none" w:sz="0" w:space="0" w:color="auto"/>
        <w:bottom w:val="none" w:sz="0" w:space="0" w:color="auto"/>
        <w:right w:val="none" w:sz="0" w:space="0" w:color="auto"/>
      </w:divBdr>
      <w:divsChild>
        <w:div w:id="99230531">
          <w:marLeft w:val="0"/>
          <w:marRight w:val="0"/>
          <w:marTop w:val="0"/>
          <w:marBottom w:val="0"/>
          <w:divBdr>
            <w:top w:val="none" w:sz="0" w:space="0" w:color="auto"/>
            <w:left w:val="none" w:sz="0" w:space="0" w:color="auto"/>
            <w:bottom w:val="none" w:sz="0" w:space="0" w:color="auto"/>
            <w:right w:val="none" w:sz="0" w:space="0" w:color="auto"/>
          </w:divBdr>
          <w:divsChild>
            <w:div w:id="1455707609">
              <w:marLeft w:val="0"/>
              <w:marRight w:val="0"/>
              <w:marTop w:val="0"/>
              <w:marBottom w:val="0"/>
              <w:divBdr>
                <w:top w:val="none" w:sz="0" w:space="0" w:color="auto"/>
                <w:left w:val="none" w:sz="0" w:space="0" w:color="auto"/>
                <w:bottom w:val="none" w:sz="0" w:space="0" w:color="auto"/>
                <w:right w:val="none" w:sz="0" w:space="0" w:color="auto"/>
              </w:divBdr>
              <w:divsChild>
                <w:div w:id="215437580">
                  <w:marLeft w:val="0"/>
                  <w:marRight w:val="0"/>
                  <w:marTop w:val="0"/>
                  <w:marBottom w:val="0"/>
                  <w:divBdr>
                    <w:top w:val="none" w:sz="0" w:space="0" w:color="auto"/>
                    <w:left w:val="none" w:sz="0" w:space="0" w:color="auto"/>
                    <w:bottom w:val="none" w:sz="0" w:space="0" w:color="auto"/>
                    <w:right w:val="none" w:sz="0" w:space="0" w:color="auto"/>
                  </w:divBdr>
                  <w:divsChild>
                    <w:div w:id="953445784">
                      <w:marLeft w:val="0"/>
                      <w:marRight w:val="0"/>
                      <w:marTop w:val="0"/>
                      <w:marBottom w:val="0"/>
                      <w:divBdr>
                        <w:top w:val="none" w:sz="0" w:space="0" w:color="auto"/>
                        <w:left w:val="none" w:sz="0" w:space="0" w:color="auto"/>
                        <w:bottom w:val="none" w:sz="0" w:space="0" w:color="auto"/>
                        <w:right w:val="none" w:sz="0" w:space="0" w:color="auto"/>
                      </w:divBdr>
                      <w:divsChild>
                        <w:div w:id="928584143">
                          <w:marLeft w:val="0"/>
                          <w:marRight w:val="0"/>
                          <w:marTop w:val="0"/>
                          <w:marBottom w:val="0"/>
                          <w:divBdr>
                            <w:top w:val="none" w:sz="0" w:space="0" w:color="auto"/>
                            <w:left w:val="none" w:sz="0" w:space="0" w:color="auto"/>
                            <w:bottom w:val="none" w:sz="0" w:space="0" w:color="auto"/>
                            <w:right w:val="none" w:sz="0" w:space="0" w:color="auto"/>
                          </w:divBdr>
                          <w:divsChild>
                            <w:div w:id="629750809">
                              <w:marLeft w:val="0"/>
                              <w:marRight w:val="0"/>
                              <w:marTop w:val="0"/>
                              <w:marBottom w:val="0"/>
                              <w:divBdr>
                                <w:top w:val="none" w:sz="0" w:space="0" w:color="auto"/>
                                <w:left w:val="none" w:sz="0" w:space="0" w:color="auto"/>
                                <w:bottom w:val="none" w:sz="0" w:space="0" w:color="auto"/>
                                <w:right w:val="none" w:sz="0" w:space="0" w:color="auto"/>
                              </w:divBdr>
                              <w:divsChild>
                                <w:div w:id="1886021900">
                                  <w:marLeft w:val="0"/>
                                  <w:marRight w:val="0"/>
                                  <w:marTop w:val="0"/>
                                  <w:marBottom w:val="0"/>
                                  <w:divBdr>
                                    <w:top w:val="none" w:sz="0" w:space="0" w:color="auto"/>
                                    <w:left w:val="none" w:sz="0" w:space="0" w:color="auto"/>
                                    <w:bottom w:val="none" w:sz="0" w:space="0" w:color="auto"/>
                                    <w:right w:val="none" w:sz="0" w:space="0" w:color="auto"/>
                                  </w:divBdr>
                                  <w:divsChild>
                                    <w:div w:id="820658921">
                                      <w:marLeft w:val="0"/>
                                      <w:marRight w:val="0"/>
                                      <w:marTop w:val="0"/>
                                      <w:marBottom w:val="0"/>
                                      <w:divBdr>
                                        <w:top w:val="none" w:sz="0" w:space="0" w:color="auto"/>
                                        <w:left w:val="none" w:sz="0" w:space="0" w:color="auto"/>
                                        <w:bottom w:val="none" w:sz="0" w:space="0" w:color="auto"/>
                                        <w:right w:val="none" w:sz="0" w:space="0" w:color="auto"/>
                                      </w:divBdr>
                                      <w:divsChild>
                                        <w:div w:id="1907717289">
                                          <w:marLeft w:val="0"/>
                                          <w:marRight w:val="0"/>
                                          <w:marTop w:val="0"/>
                                          <w:marBottom w:val="0"/>
                                          <w:divBdr>
                                            <w:top w:val="none" w:sz="0" w:space="0" w:color="auto"/>
                                            <w:left w:val="none" w:sz="0" w:space="0" w:color="auto"/>
                                            <w:bottom w:val="none" w:sz="0" w:space="0" w:color="auto"/>
                                            <w:right w:val="none" w:sz="0" w:space="0" w:color="auto"/>
                                          </w:divBdr>
                                          <w:divsChild>
                                            <w:div w:id="997612587">
                                              <w:marLeft w:val="0"/>
                                              <w:marRight w:val="0"/>
                                              <w:marTop w:val="0"/>
                                              <w:marBottom w:val="0"/>
                                              <w:divBdr>
                                                <w:top w:val="none" w:sz="0" w:space="0" w:color="auto"/>
                                                <w:left w:val="none" w:sz="0" w:space="0" w:color="auto"/>
                                                <w:bottom w:val="none" w:sz="0" w:space="0" w:color="auto"/>
                                                <w:right w:val="none" w:sz="0" w:space="0" w:color="auto"/>
                                              </w:divBdr>
                                              <w:divsChild>
                                                <w:div w:id="1855343653">
                                                  <w:marLeft w:val="0"/>
                                                  <w:marRight w:val="0"/>
                                                  <w:marTop w:val="0"/>
                                                  <w:marBottom w:val="0"/>
                                                  <w:divBdr>
                                                    <w:top w:val="none" w:sz="0" w:space="0" w:color="auto"/>
                                                    <w:left w:val="none" w:sz="0" w:space="0" w:color="auto"/>
                                                    <w:bottom w:val="none" w:sz="0" w:space="0" w:color="auto"/>
                                                    <w:right w:val="none" w:sz="0" w:space="0" w:color="auto"/>
                                                  </w:divBdr>
                                                  <w:divsChild>
                                                    <w:div w:id="274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798449032">
      <w:bodyDiv w:val="1"/>
      <w:marLeft w:val="0"/>
      <w:marRight w:val="0"/>
      <w:marTop w:val="0"/>
      <w:marBottom w:val="0"/>
      <w:divBdr>
        <w:top w:val="none" w:sz="0" w:space="0" w:color="auto"/>
        <w:left w:val="none" w:sz="0" w:space="0" w:color="auto"/>
        <w:bottom w:val="none" w:sz="0" w:space="0" w:color="auto"/>
        <w:right w:val="none" w:sz="0" w:space="0" w:color="auto"/>
      </w:divBdr>
    </w:div>
    <w:div w:id="1908417044">
      <w:bodyDiv w:val="1"/>
      <w:marLeft w:val="0"/>
      <w:marRight w:val="0"/>
      <w:marTop w:val="0"/>
      <w:marBottom w:val="0"/>
      <w:divBdr>
        <w:top w:val="none" w:sz="0" w:space="0" w:color="auto"/>
        <w:left w:val="none" w:sz="0" w:space="0" w:color="auto"/>
        <w:bottom w:val="none" w:sz="0" w:space="0" w:color="auto"/>
        <w:right w:val="none" w:sz="0" w:space="0" w:color="auto"/>
      </w:divBdr>
      <w:divsChild>
        <w:div w:id="2128548101">
          <w:marLeft w:val="0"/>
          <w:marRight w:val="0"/>
          <w:marTop w:val="0"/>
          <w:marBottom w:val="0"/>
          <w:divBdr>
            <w:top w:val="none" w:sz="0" w:space="0" w:color="auto"/>
            <w:left w:val="none" w:sz="0" w:space="0" w:color="auto"/>
            <w:bottom w:val="none" w:sz="0" w:space="0" w:color="auto"/>
            <w:right w:val="none" w:sz="0" w:space="0" w:color="auto"/>
          </w:divBdr>
          <w:divsChild>
            <w:div w:id="1558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H7EN5MXTHQNV-662-1793</_dlc_DocId>
    <_dlc_DocIdUrl xmlns="ae9388c0-b1e2-40ea-b6a8-c51c7913cbd2">
      <Url>https://www.mincultura.gov.co/prensa/noticias/_layouts/15/DocIdRedir.aspx?ID=H7EN5MXTHQNV-662-1793</Url>
      <Description>H7EN5MXTHQNV-662-1793</Description>
    </_dlc_DocIdUrl>
  </documentManagement>
</p:properties>
</file>

<file path=customXml/itemProps1.xml><?xml version="1.0" encoding="utf-8"?>
<ds:datastoreItem xmlns:ds="http://schemas.openxmlformats.org/officeDocument/2006/customXml" ds:itemID="{71BAB1EA-D7EF-43CE-9E0F-6050E8A8FEF8}"/>
</file>

<file path=customXml/itemProps2.xml><?xml version="1.0" encoding="utf-8"?>
<ds:datastoreItem xmlns:ds="http://schemas.openxmlformats.org/officeDocument/2006/customXml" ds:itemID="{A83D6EB6-E7A3-4981-B940-3F2FE3861574}"/>
</file>

<file path=customXml/itemProps3.xml><?xml version="1.0" encoding="utf-8"?>
<ds:datastoreItem xmlns:ds="http://schemas.openxmlformats.org/officeDocument/2006/customXml" ds:itemID="{37A78635-41E9-42D0-80B7-48CA55DEAFBD}"/>
</file>

<file path=customXml/itemProps4.xml><?xml version="1.0" encoding="utf-8"?>
<ds:datastoreItem xmlns:ds="http://schemas.openxmlformats.org/officeDocument/2006/customXml" ds:itemID="{45472348-4744-402A-855C-11AF2097A621}"/>
</file>

<file path=customXml/itemProps5.xml><?xml version="1.0" encoding="utf-8"?>
<ds:datastoreItem xmlns:ds="http://schemas.openxmlformats.org/officeDocument/2006/customXml" ds:itemID="{3908269C-38C8-499A-B633-66950697513F}"/>
</file>

<file path=docProps/app.xml><?xml version="1.0" encoding="utf-8"?>
<Properties xmlns="http://schemas.openxmlformats.org/officeDocument/2006/extended-properties" xmlns:vt="http://schemas.openxmlformats.org/officeDocument/2006/docPropsVTypes">
  <Template>Normal</Template>
  <TotalTime>34</TotalTime>
  <Pages>7</Pages>
  <Words>2383</Words>
  <Characters>13112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lastModifiedBy>PC-3</cp:lastModifiedBy>
  <cp:revision>3</cp:revision>
  <cp:lastPrinted>2018-08-22T21:22:00Z</cp:lastPrinted>
  <dcterms:created xsi:type="dcterms:W3CDTF">2019-02-04T23:57:00Z</dcterms:created>
  <dcterms:modified xsi:type="dcterms:W3CDTF">2019-02-05T00:31:00Z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69c7fd56-802a-43fd-aaf6-d3f5383bc162</vt:lpwstr>
  </property>
</Properties>
</file>