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Coronavirus o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Traducción a lenguas Nativas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 Lengua Inga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  <w:rtl w:val="0"/>
        </w:rPr>
        <w:t xml:space="preserve">IMATA KA CORONAVIRUS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  <w:rtl w:val="0"/>
        </w:rPr>
        <w:t xml:space="preserve">Coronavirus suti jiru unguym ka, ujuchiim api, rupaym api, samay arkarim api, chi unguy apimi sug  runakuna ialichipgpi, chi unguy wañuchingapam kispichii.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  <w:rtl w:val="0"/>
        </w:rPr>
        <w:t xml:space="preserve">Chi unguy tukuikunatam chaia, achalakunata, atunkunata, sipaskunata, musukunata, wawakunata pas.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Jiru unguy COVID  19 chaiagpi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Sapaya kangui,  ama sugkunata tuparingui, jiru unguy ialingama sugkunata, unguringakunami tukuikuna.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Ama sugkunapa  kantanga  juri unguywa kaskata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churarinakunguichi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Jiru unguy chaiagpi,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iachachidurkunata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nukanchipa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iachakunata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taita ubernadurta, ambidurkunata willaychi nukanchipa runakuna ungurigpi.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Ama nukanchipa llagtamanda llugsinakusunchi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Mana jiru unguyta (COVID 19) apingapa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Suma makikunata mayllarisunchi, chasa jiru unguy mana chaiangami  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Ama ungug kaskanata  tupararinakusunchi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Ujungapa simita Katarisuchi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Ujuy iukagpi wasipi kasunchi, ama llugsinakusunchi nukanchipa wasikunamanda</w:t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Chasallata, suma mayllachisunchi tukuy ima apiskakunata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Paskay pungukuna waira wasima iaikungami. </w:t>
      </w:r>
    </w:p>
    <w:p w:rsidR="00000000" w:rsidDel="00000000" w:rsidP="00000000" w:rsidRDefault="00000000" w:rsidRPr="00000000" w14:paraId="00000021">
      <w:pPr>
        <w:spacing w:after="280" w:before="28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4f4f4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2541</wp:posOffset>
          </wp:positionH>
          <wp:positionV relativeFrom="paragraph">
            <wp:posOffset>-2539</wp:posOffset>
          </wp:positionV>
          <wp:extent cx="2438400" cy="48768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8400" cy="4876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vistosa-Énfasis1,titulo3,Párrafodelista1,HOJA,Bolita,Párrafodelista3,Guión,Párrafodelista31,BOLA,Párrafodelista21,BOLADEF,Párrafodelista2,Titulo8,Párrafodelista5,ColorfulList-Accent11,ColorfulList-Accent12,Bullets,Bullet">
    <w:name w:val="Lista vistosa - Énfasis 1,titulo 3,Párrafo de lista1,HOJA,Bolita,Párrafo de lista3,Guión,Párrafo de lista31,BOLA,Párrafo de lista21,BOLADEF,Párrafo de lista2,Titulo 8,Párrafo de lista5,Colorful List - Accent 11,Colorful List - Accent 12,Bullets,Bullet"/>
    <w:basedOn w:val="Normal"/>
    <w:next w:val="Listavistosa-Énfasis1,titulo3,Párrafodelista1,HOJA,Bolita,Párrafodelista3,Guión,Párrafodelista31,BOLA,Párrafodelista21,BOLADEF,Párrafodelista2,Titulo8,Párrafodelista5,ColorfulList-Accent11,ColorfulList-Accent12,Bullets,Bullet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Listavistosa-Énfasis1Car,titulo3Car,Párrafodelista1Car,HOJACar,BolitaCar,Párrafodelista3Car,GuiónCar,Párrafodelista31Car,BOLACar,Párrafodelista21Car,BOLADEFCar,Párrafodelista2Car,Titulo8Car,Párrafodelista5Car,BulletsCar">
    <w:name w:val="Lista vistosa - Énfasis 1 Car,titulo 3 Car,Párrafo de lista1 Car,HOJA Car,Bolita Car,Párrafo de lista3 Car,Guión Car,Párrafo de lista31 Car,BOLA Car,Párrafo de lista21 Car,BOLADEF Car,Párrafo de lista2 Car,Titulo 8 Car,Párrafo de lista5 Car,Bullets Car"/>
    <w:next w:val="Listavistosa-Énfasis1Car,titulo3Car,Párrafodelista1Car,HOJACar,BolitaCar,Párrafodelista3Car,GuiónCar,Párrafodelista31Car,BOLACar,Párrafodelista21Car,BOLADEFCar,Párrafodelista2Car,Titulo8Car,Párrafodelista5Car,Bullets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CO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1"/>
      <w:effect w:val="none"/>
      <w:vertAlign w:val="baseline"/>
      <w:cs w:val="0"/>
      <w:em w:val="none"/>
      <w:lang w:bidi="ar-SA" w:eastAsia="en-US" w:val="es-CO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rFonts w:ascii="Calibri" w:hAnsi="Calibri"/>
      <w:w w:val="100"/>
      <w:position w:val="-1"/>
      <w:szCs w:val="2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uadrículamedia2">
    <w:name w:val="Cuadrícula media 2"/>
    <w:next w:val="Cuadrículamedia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msonormal">
    <w:name w:val="msonormal"/>
    <w:basedOn w:val="Normal"/>
    <w:next w:val="msonormal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66">
    <w:name w:val="xl66"/>
    <w:basedOn w:val="Normal"/>
    <w:next w:val="xl6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67">
    <w:name w:val="xl67"/>
    <w:basedOn w:val="Normal"/>
    <w:next w:val="xl6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68">
    <w:name w:val="xl68"/>
    <w:basedOn w:val="Normal"/>
    <w:next w:val="xl6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69">
    <w:name w:val="xl69"/>
    <w:basedOn w:val="Normal"/>
    <w:next w:val="xl6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70">
    <w:name w:val="xl70"/>
    <w:basedOn w:val="Normal"/>
    <w:next w:val="xl7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71">
    <w:name w:val="xl71"/>
    <w:basedOn w:val="Normal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72">
    <w:name w:val="xl72"/>
    <w:basedOn w:val="Normal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73">
    <w:name w:val="xl73"/>
    <w:basedOn w:val="Normal"/>
    <w:next w:val="xl7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74">
    <w:name w:val="xl74"/>
    <w:basedOn w:val="Normal"/>
    <w:next w:val="xl7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75">
    <w:name w:val="xl75"/>
    <w:basedOn w:val="Normal"/>
    <w:next w:val="xl7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76">
    <w:name w:val="xl76"/>
    <w:basedOn w:val="Normal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77">
    <w:name w:val="xl77"/>
    <w:basedOn w:val="Normal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78">
    <w:name w:val="xl78"/>
    <w:basedOn w:val="Normal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79">
    <w:name w:val="xl79"/>
    <w:basedOn w:val="Normal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80">
    <w:name w:val="xl80"/>
    <w:basedOn w:val="Normal"/>
    <w:next w:val="xl8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81">
    <w:name w:val="xl81"/>
    <w:basedOn w:val="Normal"/>
    <w:next w:val="xl8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82">
    <w:name w:val="xl82"/>
    <w:basedOn w:val="Normal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83">
    <w:name w:val="xl83"/>
    <w:basedOn w:val="Normal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42f63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84">
    <w:name w:val="xl84"/>
    <w:basedOn w:val="Normal"/>
    <w:next w:val="xl84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42f63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85">
    <w:name w:val="xl85"/>
    <w:basedOn w:val="Normal"/>
    <w:next w:val="xl8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87">
    <w:name w:val="xl87"/>
    <w:basedOn w:val="Normal"/>
    <w:next w:val="xl8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86">
    <w:name w:val="xl86"/>
    <w:basedOn w:val="Normal"/>
    <w:next w:val="xl86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42f63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88">
    <w:name w:val="xl88"/>
    <w:basedOn w:val="Normal"/>
    <w:next w:val="xl88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xl89">
    <w:name w:val="xl89"/>
    <w:basedOn w:val="Normal"/>
    <w:next w:val="xl8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3366cc" w:val="clear"/>
      <w:suppressAutoHyphens w:val="1"/>
      <w:spacing w:after="100" w:afterAutospacing="1" w:before="100" w:beforeAutospacing="1" w:line="240" w:lineRule="auto"/>
      <w:ind w:leftChars="-1" w:rightChars="0" w:firstLineChars="-1"/>
      <w:jc w:val="right"/>
      <w:textDirection w:val="btLr"/>
      <w:textAlignment w:val="center"/>
      <w:outlineLvl w:val="0"/>
    </w:pPr>
    <w:rPr>
      <w:rFonts w:ascii="Times New Roman" w:cs="Times New Roman" w:eastAsia="Times New Roman" w:hAnsi="Times New Roman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character" w:styleId="ms-rtefontsize-4">
    <w:name w:val="ms-rtefontsize-4"/>
    <w:basedOn w:val="Fuentedepárrafopredeter."/>
    <w:next w:val="ms-rtefontsize-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3WydvOGBt8sy2U+TzW9Xb9jqyQ==">AMUW2mWg0q4KeEPyQPkJIV48e4keINa/tlKw5YaeYz/d2xXrgXSFgxN4zWfMEJNcObyvXeix26cx60BOIbcSKkZQr9GZi6BsL+WHKtxZd8IhuOZlCcYx6nk=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H7EN5MXTHQNV-662-2320</_dlc_DocId>
    <_dlc_DocIdUrl xmlns="ae9388c0-b1e2-40ea-b6a8-c51c7913cbd2">
      <Url>https://www.mincultura.gov.co/prensa/noticias/_layouts/15/DocIdRedir.aspx?ID=H7EN5MXTHQNV-662-2320</Url>
      <Description>H7EN5MXTHQNV-662-2320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270F2E86-9B69-4628-96A6-8DCA7209C4F1}"/>
</file>

<file path=customXML/itemProps3.xml><?xml version="1.0" encoding="utf-8"?>
<ds:datastoreItem xmlns:ds="http://schemas.openxmlformats.org/officeDocument/2006/customXml" ds:itemID="{3227E365-3452-419E-98E9-FE1B03E33917}"/>
</file>

<file path=customXML/itemProps4.xml><?xml version="1.0" encoding="utf-8"?>
<ds:datastoreItem xmlns:ds="http://schemas.openxmlformats.org/officeDocument/2006/customXml" ds:itemID="{EFA2DA10-6CC5-4F5A-B228-05CB66D1F56C}"/>
</file>

<file path=customXML/itemProps5.xml><?xml version="1.0" encoding="utf-8"?>
<ds:datastoreItem xmlns:ds="http://schemas.openxmlformats.org/officeDocument/2006/customXml" ds:itemID="{1B6A261C-8B11-4F33-BD20-0F17EF91078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Alejandro Taborda</dc:creator>
  <dcterms:created xsi:type="dcterms:W3CDTF">2020-03-30T17:43:00Z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5cf6ec49-3314-43f1-95f4-981d47fa69b1</vt:lpwstr>
  </property>
</Properties>
</file>