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thickThinLargeGap" w:sz="6" w:space="0" w:color="C0C0C0"/>
          <w:left w:val="thickThinLargeGap" w:sz="6" w:space="0" w:color="C0C0C0"/>
          <w:bottom w:val="thinThickLargeGap" w:sz="6" w:space="0" w:color="C0C0C0"/>
          <w:right w:val="thinThickLargeGap" w:sz="6" w:space="0" w:color="C0C0C0"/>
          <w:insideH w:val="single" w:sz="6" w:space="0" w:color="auto"/>
          <w:insideV w:val="single" w:sz="6" w:space="0" w:color="auto"/>
        </w:tblBorders>
        <w:tblCellMar>
          <w:left w:w="70" w:type="dxa"/>
          <w:right w:w="70" w:type="dxa"/>
        </w:tblCellMar>
        <w:tblLook w:val="01E0" w:firstRow="1" w:lastRow="1" w:firstColumn="1" w:lastColumn="1" w:noHBand="0" w:noVBand="0"/>
      </w:tblPr>
      <w:tblGrid>
        <w:gridCol w:w="2430"/>
        <w:gridCol w:w="7482"/>
      </w:tblGrid>
      <w:tr w:rsidR="002723AE" w:rsidRPr="00005E76" w:rsidTr="002723AE">
        <w:trPr>
          <w:cantSplit/>
          <w:trHeight w:val="1770"/>
          <w:tblHeader/>
        </w:trPr>
        <w:tc>
          <w:tcPr>
            <w:tcW w:w="1226" w:type="pct"/>
            <w:tcBorders>
              <w:top w:val="thickThinLargeGap" w:sz="6" w:space="0" w:color="C0C0C0"/>
            </w:tcBorders>
            <w:vAlign w:val="center"/>
          </w:tcPr>
          <w:p w:rsidR="002723AE" w:rsidRPr="006B2859" w:rsidRDefault="00C1119B" w:rsidP="002723AE">
            <w:pPr>
              <w:jc w:val="center"/>
            </w:pPr>
            <w:r>
              <w:rPr>
                <w:noProof/>
                <w:lang w:eastAsia="es-CO"/>
              </w:rPr>
              <w:pict w14:anchorId="3F7CF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0" o:spid="_x0000_i1025" type="#_x0000_t75" style="width:102pt;height:68.25pt;visibility:visible">
                  <v:imagedata r:id="rId7" o:title=""/>
                </v:shape>
              </w:pict>
            </w:r>
          </w:p>
        </w:tc>
        <w:tc>
          <w:tcPr>
            <w:tcW w:w="3774" w:type="pct"/>
            <w:tcBorders>
              <w:top w:val="thickThinLargeGap" w:sz="6" w:space="0" w:color="C0C0C0"/>
            </w:tcBorders>
            <w:vAlign w:val="center"/>
          </w:tcPr>
          <w:p w:rsidR="002723AE" w:rsidRDefault="002723AE" w:rsidP="002723AE">
            <w:pPr>
              <w:pStyle w:val="Encabezado"/>
              <w:jc w:val="center"/>
              <w:rPr>
                <w:rFonts w:ascii="Verdana" w:hAnsi="Verdana" w:cs="Arial"/>
                <w:b/>
                <w:sz w:val="20"/>
                <w:szCs w:val="20"/>
              </w:rPr>
            </w:pPr>
            <w:r w:rsidRPr="00005E76">
              <w:rPr>
                <w:rFonts w:ascii="Verdana" w:hAnsi="Verdana" w:cs="Arial"/>
                <w:b/>
                <w:sz w:val="20"/>
                <w:szCs w:val="20"/>
              </w:rPr>
              <w:t>MEMORIA JUSTIFICATIVA</w:t>
            </w:r>
            <w:r>
              <w:rPr>
                <w:rFonts w:ascii="Verdana" w:hAnsi="Verdana" w:cs="Arial"/>
                <w:b/>
                <w:sz w:val="20"/>
                <w:szCs w:val="20"/>
              </w:rPr>
              <w:t xml:space="preserve"> – EXPEDICIÓN NORMATIVA</w:t>
            </w:r>
          </w:p>
          <w:p w:rsidR="002723AE" w:rsidRPr="00005E76" w:rsidRDefault="002723AE" w:rsidP="002723AE">
            <w:pPr>
              <w:pStyle w:val="Encabezado"/>
              <w:jc w:val="center"/>
              <w:rPr>
                <w:rFonts w:ascii="Verdana" w:hAnsi="Verdana"/>
                <w:sz w:val="20"/>
                <w:szCs w:val="20"/>
              </w:rPr>
            </w:pPr>
            <w:r>
              <w:rPr>
                <w:rFonts w:ascii="Verdana" w:hAnsi="Verdana" w:cs="Arial"/>
                <w:b/>
                <w:sz w:val="20"/>
                <w:szCs w:val="20"/>
              </w:rPr>
              <w:t>Decreto Reglamentario n.°     de 2017</w:t>
            </w:r>
          </w:p>
        </w:tc>
      </w:tr>
    </w:tbl>
    <w:p w:rsidR="00354FEA" w:rsidRPr="00005E76" w:rsidRDefault="00354FEA" w:rsidP="00354FEA">
      <w:pPr>
        <w:tabs>
          <w:tab w:val="left" w:pos="8930"/>
        </w:tabs>
        <w:ind w:right="-1"/>
        <w:jc w:val="cente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3002"/>
        <w:gridCol w:w="2798"/>
      </w:tblGrid>
      <w:tr w:rsidR="00354FEA" w:rsidRPr="00005E76" w:rsidTr="00354FEA">
        <w:tc>
          <w:tcPr>
            <w:tcW w:w="4162" w:type="dxa"/>
            <w:vMerge w:val="restart"/>
            <w:tcBorders>
              <w:top w:val="single" w:sz="4" w:space="0" w:color="auto"/>
              <w:left w:val="single" w:sz="4" w:space="0" w:color="auto"/>
              <w:bottom w:val="single" w:sz="4" w:space="0" w:color="auto"/>
              <w:right w:val="single" w:sz="4" w:space="0" w:color="auto"/>
            </w:tcBorders>
            <w:vAlign w:val="center"/>
            <w:hideMark/>
          </w:tcPr>
          <w:p w:rsidR="00354FEA" w:rsidRPr="006F7417" w:rsidRDefault="00354FEA" w:rsidP="00655296">
            <w:pPr>
              <w:tabs>
                <w:tab w:val="left" w:pos="8930"/>
              </w:tabs>
              <w:ind w:right="-1"/>
              <w:jc w:val="both"/>
              <w:rPr>
                <w:rFonts w:ascii="Verdana" w:hAnsi="Verdana" w:cs="Arial"/>
                <w:b/>
                <w:sz w:val="20"/>
                <w:szCs w:val="20"/>
                <w:lang w:val="es-ES"/>
              </w:rPr>
            </w:pPr>
            <w:r w:rsidRPr="00005E76">
              <w:rPr>
                <w:rFonts w:ascii="Verdana" w:hAnsi="Verdana" w:cs="Arial"/>
                <w:b/>
                <w:sz w:val="20"/>
                <w:szCs w:val="20"/>
              </w:rPr>
              <w:t>Tipo de proyecto normativo:</w:t>
            </w:r>
          </w:p>
        </w:tc>
        <w:tc>
          <w:tcPr>
            <w:tcW w:w="3002" w:type="dxa"/>
            <w:tcBorders>
              <w:top w:val="single" w:sz="4" w:space="0" w:color="auto"/>
              <w:left w:val="single" w:sz="4" w:space="0" w:color="auto"/>
              <w:bottom w:val="single" w:sz="4" w:space="0" w:color="auto"/>
              <w:right w:val="single" w:sz="4" w:space="0" w:color="auto"/>
            </w:tcBorders>
            <w:hideMark/>
          </w:tcPr>
          <w:p w:rsidR="00354FEA" w:rsidRPr="00005E76" w:rsidRDefault="00354FEA" w:rsidP="00655296">
            <w:pPr>
              <w:tabs>
                <w:tab w:val="left" w:pos="8930"/>
              </w:tabs>
              <w:ind w:right="-1"/>
              <w:jc w:val="both"/>
              <w:rPr>
                <w:rFonts w:ascii="Verdana" w:hAnsi="Verdana" w:cs="Arial"/>
                <w:b/>
                <w:sz w:val="20"/>
                <w:szCs w:val="20"/>
                <w:lang w:val="es-ES"/>
              </w:rPr>
            </w:pPr>
            <w:r w:rsidRPr="00005E76">
              <w:rPr>
                <w:rFonts w:ascii="Verdana" w:hAnsi="Verdana" w:cs="Arial"/>
                <w:b/>
                <w:sz w:val="20"/>
                <w:szCs w:val="20"/>
              </w:rPr>
              <w:t>Decreto</w:t>
            </w:r>
          </w:p>
        </w:tc>
        <w:tc>
          <w:tcPr>
            <w:tcW w:w="2798" w:type="dxa"/>
            <w:tcBorders>
              <w:top w:val="single" w:sz="4" w:space="0" w:color="auto"/>
              <w:left w:val="single" w:sz="4" w:space="0" w:color="auto"/>
              <w:bottom w:val="single" w:sz="4" w:space="0" w:color="auto"/>
              <w:right w:val="single" w:sz="4" w:space="0" w:color="auto"/>
            </w:tcBorders>
            <w:vAlign w:val="center"/>
          </w:tcPr>
          <w:p w:rsidR="00354FEA" w:rsidRPr="00005E76" w:rsidRDefault="00354FEA" w:rsidP="00655296">
            <w:pPr>
              <w:tabs>
                <w:tab w:val="left" w:pos="8930"/>
              </w:tabs>
              <w:ind w:right="-1"/>
              <w:jc w:val="center"/>
              <w:rPr>
                <w:rFonts w:ascii="Verdana" w:hAnsi="Verdana" w:cs="Arial"/>
                <w:b/>
                <w:sz w:val="20"/>
                <w:szCs w:val="20"/>
                <w:lang w:val="es-ES"/>
              </w:rPr>
            </w:pPr>
            <w:r w:rsidRPr="00005E76">
              <w:rPr>
                <w:rFonts w:ascii="Verdana" w:hAnsi="Verdana" w:cs="Arial"/>
                <w:b/>
                <w:sz w:val="20"/>
                <w:szCs w:val="20"/>
                <w:lang w:val="es-ES"/>
              </w:rPr>
              <w:t>X</w:t>
            </w:r>
          </w:p>
        </w:tc>
      </w:tr>
      <w:tr w:rsidR="00354FEA" w:rsidRPr="00005E76" w:rsidTr="00354FEA">
        <w:tc>
          <w:tcPr>
            <w:tcW w:w="0" w:type="auto"/>
            <w:vMerge/>
            <w:tcBorders>
              <w:top w:val="single" w:sz="4" w:space="0" w:color="auto"/>
              <w:left w:val="single" w:sz="4" w:space="0" w:color="auto"/>
              <w:bottom w:val="single" w:sz="4" w:space="0" w:color="auto"/>
              <w:right w:val="single" w:sz="4" w:space="0" w:color="auto"/>
            </w:tcBorders>
            <w:vAlign w:val="center"/>
            <w:hideMark/>
          </w:tcPr>
          <w:p w:rsidR="00354FEA" w:rsidRPr="00005E76" w:rsidRDefault="00354FEA" w:rsidP="00655296">
            <w:pPr>
              <w:rPr>
                <w:rFonts w:ascii="Verdana" w:hAnsi="Verdana" w:cs="Arial"/>
                <w:sz w:val="20"/>
                <w:szCs w:val="20"/>
                <w:lang w:val="es-ES"/>
              </w:rPr>
            </w:pPr>
          </w:p>
        </w:tc>
        <w:tc>
          <w:tcPr>
            <w:tcW w:w="3002" w:type="dxa"/>
            <w:tcBorders>
              <w:top w:val="single" w:sz="4" w:space="0" w:color="auto"/>
              <w:left w:val="single" w:sz="4" w:space="0" w:color="auto"/>
              <w:bottom w:val="single" w:sz="4" w:space="0" w:color="auto"/>
              <w:right w:val="single" w:sz="4" w:space="0" w:color="auto"/>
            </w:tcBorders>
            <w:hideMark/>
          </w:tcPr>
          <w:p w:rsidR="00354FEA" w:rsidRPr="00005E76" w:rsidRDefault="00354FEA" w:rsidP="00655296">
            <w:pPr>
              <w:tabs>
                <w:tab w:val="left" w:pos="8930"/>
              </w:tabs>
              <w:ind w:right="-1"/>
              <w:jc w:val="both"/>
              <w:rPr>
                <w:rFonts w:ascii="Verdana" w:hAnsi="Verdana" w:cs="Arial"/>
                <w:b/>
                <w:sz w:val="20"/>
                <w:szCs w:val="20"/>
                <w:lang w:val="es-ES"/>
              </w:rPr>
            </w:pPr>
            <w:r w:rsidRPr="00005E76">
              <w:rPr>
                <w:rFonts w:ascii="Verdana" w:hAnsi="Verdana" w:cs="Arial"/>
                <w:b/>
                <w:sz w:val="20"/>
                <w:szCs w:val="20"/>
              </w:rPr>
              <w:t>Resolución</w:t>
            </w:r>
          </w:p>
        </w:tc>
        <w:tc>
          <w:tcPr>
            <w:tcW w:w="2798" w:type="dxa"/>
            <w:tcBorders>
              <w:top w:val="single" w:sz="4" w:space="0" w:color="auto"/>
              <w:left w:val="single" w:sz="4" w:space="0" w:color="auto"/>
              <w:bottom w:val="single" w:sz="4" w:space="0" w:color="auto"/>
              <w:right w:val="single" w:sz="4" w:space="0" w:color="auto"/>
            </w:tcBorders>
            <w:vAlign w:val="center"/>
          </w:tcPr>
          <w:p w:rsidR="00354FEA" w:rsidRPr="00005E76" w:rsidRDefault="00354FEA" w:rsidP="00655296">
            <w:pPr>
              <w:tabs>
                <w:tab w:val="left" w:pos="8930"/>
              </w:tabs>
              <w:ind w:right="-1"/>
              <w:jc w:val="center"/>
              <w:rPr>
                <w:rFonts w:ascii="Verdana" w:hAnsi="Verdana" w:cs="Arial"/>
                <w:b/>
                <w:sz w:val="20"/>
                <w:szCs w:val="20"/>
                <w:lang w:val="es-ES"/>
              </w:rPr>
            </w:pPr>
          </w:p>
        </w:tc>
      </w:tr>
      <w:tr w:rsidR="00354FEA" w:rsidRPr="00005E76" w:rsidTr="00354FEA">
        <w:tc>
          <w:tcPr>
            <w:tcW w:w="0" w:type="auto"/>
            <w:vMerge/>
            <w:tcBorders>
              <w:top w:val="single" w:sz="4" w:space="0" w:color="auto"/>
              <w:left w:val="single" w:sz="4" w:space="0" w:color="auto"/>
              <w:bottom w:val="single" w:sz="4" w:space="0" w:color="auto"/>
              <w:right w:val="single" w:sz="4" w:space="0" w:color="auto"/>
            </w:tcBorders>
            <w:vAlign w:val="center"/>
            <w:hideMark/>
          </w:tcPr>
          <w:p w:rsidR="00354FEA" w:rsidRPr="00005E76" w:rsidRDefault="00354FEA" w:rsidP="00655296">
            <w:pPr>
              <w:rPr>
                <w:rFonts w:ascii="Verdana" w:hAnsi="Verdana" w:cs="Arial"/>
                <w:sz w:val="20"/>
                <w:szCs w:val="20"/>
                <w:lang w:val="es-ES"/>
              </w:rPr>
            </w:pPr>
          </w:p>
        </w:tc>
        <w:tc>
          <w:tcPr>
            <w:tcW w:w="3002" w:type="dxa"/>
            <w:tcBorders>
              <w:top w:val="single" w:sz="4" w:space="0" w:color="auto"/>
              <w:left w:val="single" w:sz="4" w:space="0" w:color="auto"/>
              <w:bottom w:val="single" w:sz="4" w:space="0" w:color="auto"/>
              <w:right w:val="single" w:sz="4" w:space="0" w:color="auto"/>
            </w:tcBorders>
            <w:hideMark/>
          </w:tcPr>
          <w:p w:rsidR="00354FEA" w:rsidRPr="00005E76" w:rsidRDefault="00354FEA" w:rsidP="00655296">
            <w:pPr>
              <w:tabs>
                <w:tab w:val="left" w:pos="8930"/>
              </w:tabs>
              <w:ind w:right="-1"/>
              <w:jc w:val="both"/>
              <w:rPr>
                <w:rFonts w:ascii="Verdana" w:hAnsi="Verdana" w:cs="Arial"/>
                <w:b/>
                <w:sz w:val="20"/>
                <w:szCs w:val="20"/>
                <w:lang w:val="es-ES"/>
              </w:rPr>
            </w:pPr>
            <w:r w:rsidRPr="00005E76">
              <w:rPr>
                <w:rFonts w:ascii="Verdana" w:hAnsi="Verdana" w:cs="Arial"/>
                <w:b/>
                <w:sz w:val="20"/>
                <w:szCs w:val="20"/>
              </w:rPr>
              <w:t>Otro - ¿Cuál?</w:t>
            </w:r>
          </w:p>
        </w:tc>
        <w:tc>
          <w:tcPr>
            <w:tcW w:w="2798" w:type="dxa"/>
            <w:tcBorders>
              <w:top w:val="single" w:sz="4" w:space="0" w:color="auto"/>
              <w:left w:val="single" w:sz="4" w:space="0" w:color="auto"/>
              <w:bottom w:val="single" w:sz="4" w:space="0" w:color="auto"/>
              <w:right w:val="single" w:sz="4" w:space="0" w:color="auto"/>
            </w:tcBorders>
            <w:vAlign w:val="center"/>
          </w:tcPr>
          <w:p w:rsidR="00354FEA" w:rsidRPr="00005E76" w:rsidRDefault="00354FEA" w:rsidP="00655296">
            <w:pPr>
              <w:tabs>
                <w:tab w:val="left" w:pos="8930"/>
              </w:tabs>
              <w:ind w:right="-1"/>
              <w:jc w:val="center"/>
              <w:rPr>
                <w:rFonts w:ascii="Verdana" w:hAnsi="Verdana" w:cs="Arial"/>
                <w:b/>
                <w:sz w:val="20"/>
                <w:szCs w:val="20"/>
                <w:lang w:val="es-ES"/>
              </w:rPr>
            </w:pPr>
          </w:p>
        </w:tc>
      </w:tr>
      <w:tr w:rsidR="00354FEA" w:rsidRPr="00005E76" w:rsidTr="00354FEA">
        <w:tc>
          <w:tcPr>
            <w:tcW w:w="9962" w:type="dxa"/>
            <w:gridSpan w:val="3"/>
            <w:tcBorders>
              <w:top w:val="single" w:sz="4" w:space="0" w:color="auto"/>
              <w:left w:val="single" w:sz="4" w:space="0" w:color="auto"/>
              <w:bottom w:val="single" w:sz="4" w:space="0" w:color="auto"/>
              <w:right w:val="single" w:sz="4" w:space="0" w:color="auto"/>
            </w:tcBorders>
            <w:hideMark/>
          </w:tcPr>
          <w:p w:rsidR="00354FEA" w:rsidRPr="00005E76" w:rsidRDefault="00354FEA" w:rsidP="00354FEA">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9746"/>
            </w:tblGrid>
            <w:tr w:rsidR="0038132E" w:rsidRPr="00005E76">
              <w:trPr>
                <w:trHeight w:val="339"/>
              </w:trPr>
              <w:tc>
                <w:tcPr>
                  <w:tcW w:w="0" w:type="auto"/>
                </w:tcPr>
                <w:p w:rsidR="00354FEA" w:rsidRPr="00005E76" w:rsidRDefault="00354FEA" w:rsidP="00B44751">
                  <w:pPr>
                    <w:pStyle w:val="Default"/>
                    <w:jc w:val="center"/>
                    <w:rPr>
                      <w:i/>
                      <w:iCs/>
                      <w:sz w:val="20"/>
                      <w:szCs w:val="20"/>
                    </w:rPr>
                  </w:pPr>
                  <w:r w:rsidRPr="00005E76">
                    <w:rPr>
                      <w:i/>
                      <w:sz w:val="20"/>
                      <w:szCs w:val="20"/>
                    </w:rPr>
                    <w:t>“</w:t>
                  </w:r>
                  <w:r w:rsidR="00B44751" w:rsidRPr="00B44751">
                    <w:rPr>
                      <w:i/>
                      <w:iCs/>
                      <w:sz w:val="20"/>
                      <w:szCs w:val="20"/>
                    </w:rPr>
                    <w:t>Por el cual se incorpora el aparte XI al</w:t>
                  </w:r>
                  <w:r w:rsidR="00B44751">
                    <w:rPr>
                      <w:i/>
                      <w:iCs/>
                      <w:sz w:val="20"/>
                      <w:szCs w:val="20"/>
                    </w:rPr>
                    <w:t xml:space="preserve"> Decreto Único Reglamentario n.°</w:t>
                  </w:r>
                  <w:r w:rsidR="00B44751" w:rsidRPr="00B44751">
                    <w:rPr>
                      <w:i/>
                      <w:iCs/>
                      <w:sz w:val="20"/>
                      <w:szCs w:val="20"/>
                    </w:rPr>
                    <w:t xml:space="preserve"> 1080 de 2015, </w:t>
                  </w:r>
                  <w:r w:rsidR="00B44751">
                    <w:rPr>
                      <w:i/>
                      <w:iCs/>
                      <w:sz w:val="20"/>
                      <w:szCs w:val="20"/>
                    </w:rPr>
                    <w:t>que reglamenta</w:t>
                  </w:r>
                  <w:r w:rsidR="00B44751" w:rsidRPr="00B44751">
                    <w:rPr>
                      <w:i/>
                      <w:iCs/>
                      <w:sz w:val="20"/>
                      <w:szCs w:val="20"/>
                    </w:rPr>
                    <w:t xml:space="preserve"> los artículos 200 y 201 de la Ley 1819 de 2016 y el artículo 41 de la Ley 1379 de 2010 en materia cultural</w:t>
                  </w:r>
                  <w:r w:rsidRPr="00005E76">
                    <w:rPr>
                      <w:i/>
                      <w:iCs/>
                      <w:sz w:val="20"/>
                      <w:szCs w:val="20"/>
                    </w:rPr>
                    <w:t>”.</w:t>
                  </w:r>
                </w:p>
                <w:p w:rsidR="00354FEA" w:rsidRPr="00005E76" w:rsidRDefault="00354FEA" w:rsidP="00354FEA">
                  <w:pPr>
                    <w:pStyle w:val="Default"/>
                    <w:rPr>
                      <w:sz w:val="20"/>
                      <w:szCs w:val="20"/>
                    </w:rPr>
                  </w:pPr>
                </w:p>
              </w:tc>
            </w:tr>
          </w:tbl>
          <w:p w:rsidR="00354FEA" w:rsidRPr="00005E76" w:rsidRDefault="00354FEA" w:rsidP="00655296">
            <w:pPr>
              <w:jc w:val="both"/>
              <w:rPr>
                <w:rFonts w:ascii="Verdana" w:hAnsi="Verdana" w:cs="Arial"/>
                <w:sz w:val="20"/>
                <w:szCs w:val="20"/>
                <w:lang w:val="es-ES"/>
              </w:rPr>
            </w:pPr>
          </w:p>
        </w:tc>
      </w:tr>
    </w:tbl>
    <w:p w:rsidR="00354FEA" w:rsidRPr="00005E76" w:rsidRDefault="00354FEA" w:rsidP="00354FEA">
      <w:pPr>
        <w:jc w:val="both"/>
        <w:rPr>
          <w:rFonts w:ascii="Verdana" w:hAnsi="Verdana" w:cs="Arial"/>
          <w:b/>
          <w:sz w:val="20"/>
          <w:szCs w:val="20"/>
          <w:lang w:val="es-MX"/>
        </w:rPr>
      </w:pPr>
    </w:p>
    <w:p w:rsidR="00354FEA" w:rsidRPr="00005E76" w:rsidRDefault="00354FEA" w:rsidP="00695F5C">
      <w:pPr>
        <w:jc w:val="center"/>
        <w:rPr>
          <w:rFonts w:ascii="Verdana" w:hAnsi="Verdana" w:cs="Arial"/>
          <w:b/>
          <w:sz w:val="20"/>
          <w:szCs w:val="20"/>
          <w:lang w:val="es-MX"/>
        </w:rPr>
      </w:pPr>
      <w:r w:rsidRPr="00005E76">
        <w:rPr>
          <w:rFonts w:ascii="Verdana" w:hAnsi="Verdana" w:cs="Arial"/>
          <w:b/>
          <w:sz w:val="20"/>
          <w:szCs w:val="20"/>
          <w:lang w:val="es-MX"/>
        </w:rPr>
        <w:t>ESTUDIO DE IMPACTO Y MEMORIA JUSTIFICATIVA</w:t>
      </w:r>
      <w:r w:rsidRPr="00005E76">
        <w:rPr>
          <w:rStyle w:val="Refdenotaalpie"/>
          <w:rFonts w:ascii="Verdana" w:hAnsi="Verdana" w:cs="Arial"/>
          <w:b/>
          <w:sz w:val="20"/>
          <w:szCs w:val="20"/>
          <w:lang w:val="es-MX"/>
        </w:rPr>
        <w:footnoteReference w:id="1"/>
      </w:r>
    </w:p>
    <w:p w:rsidR="00746D1E" w:rsidRPr="00005E76" w:rsidRDefault="00746D1E" w:rsidP="00354FEA">
      <w:pPr>
        <w:jc w:val="both"/>
        <w:rPr>
          <w:rFonts w:ascii="Verdana" w:hAnsi="Verdana" w:cs="Arial"/>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54FEA" w:rsidRPr="00005E76" w:rsidTr="00B615FD">
        <w:tc>
          <w:tcPr>
            <w:tcW w:w="9962" w:type="dxa"/>
            <w:shd w:val="clear" w:color="auto" w:fill="F2F2F2" w:themeFill="background1" w:themeFillShade="F2"/>
          </w:tcPr>
          <w:p w:rsidR="00354FEA" w:rsidRPr="00005E76" w:rsidRDefault="00354FEA" w:rsidP="002723EB">
            <w:pPr>
              <w:pStyle w:val="Prrafodelista1"/>
              <w:numPr>
                <w:ilvl w:val="0"/>
                <w:numId w:val="1"/>
              </w:numPr>
              <w:jc w:val="center"/>
              <w:rPr>
                <w:rFonts w:ascii="Verdana" w:hAnsi="Verdana" w:cs="Arial"/>
                <w:sz w:val="20"/>
                <w:szCs w:val="20"/>
              </w:rPr>
            </w:pPr>
            <w:r w:rsidRPr="00005E76">
              <w:rPr>
                <w:rFonts w:ascii="Verdana" w:hAnsi="Verdana" w:cs="Arial"/>
                <w:b/>
                <w:sz w:val="20"/>
                <w:szCs w:val="20"/>
              </w:rPr>
              <w:t>Antecedentes, razones de oportunidad y conveniencia que justifican su expedición</w:t>
            </w:r>
          </w:p>
        </w:tc>
      </w:tr>
      <w:tr w:rsidR="00354FEA" w:rsidRPr="00005E76" w:rsidTr="00275B1F">
        <w:trPr>
          <w:trHeight w:val="1832"/>
        </w:trPr>
        <w:tc>
          <w:tcPr>
            <w:tcW w:w="9962" w:type="dxa"/>
            <w:shd w:val="clear" w:color="auto" w:fill="auto"/>
          </w:tcPr>
          <w:p w:rsidR="00354FEA" w:rsidRPr="00005E76" w:rsidRDefault="00354FEA">
            <w:pPr>
              <w:rPr>
                <w:rFonts w:ascii="Verdana" w:hAnsi="Verdana"/>
                <w:sz w:val="20"/>
                <w:szCs w:val="20"/>
              </w:rPr>
            </w:pPr>
          </w:p>
          <w:tbl>
            <w:tblPr>
              <w:tblW w:w="0" w:type="auto"/>
              <w:tblBorders>
                <w:top w:val="nil"/>
                <w:left w:val="nil"/>
                <w:bottom w:val="nil"/>
                <w:right w:val="nil"/>
              </w:tblBorders>
              <w:tblLook w:val="0000" w:firstRow="0" w:lastRow="0" w:firstColumn="0" w:lastColumn="0" w:noHBand="0" w:noVBand="0"/>
            </w:tblPr>
            <w:tblGrid>
              <w:gridCol w:w="9746"/>
            </w:tblGrid>
            <w:tr w:rsidR="007A12BA" w:rsidRPr="00005E76" w:rsidTr="00ED4014">
              <w:trPr>
                <w:trHeight w:val="2267"/>
              </w:trPr>
              <w:tc>
                <w:tcPr>
                  <w:tcW w:w="0" w:type="auto"/>
                </w:tcPr>
                <w:p w:rsidR="00B44751" w:rsidRPr="00B44751" w:rsidRDefault="00B44751" w:rsidP="00B44751">
                  <w:pPr>
                    <w:pStyle w:val="Default"/>
                    <w:jc w:val="both"/>
                    <w:rPr>
                      <w:sz w:val="20"/>
                      <w:szCs w:val="20"/>
                    </w:rPr>
                  </w:pPr>
                  <w:r w:rsidRPr="00B44751">
                    <w:rPr>
                      <w:sz w:val="20"/>
                      <w:szCs w:val="20"/>
                    </w:rPr>
                    <w:t>Dentro de la política estatal en materia cultural se encuentra la preservación del patrimonio cultural de la Nación de conformidad con la Ley 397 de 1997.</w:t>
                  </w:r>
                </w:p>
                <w:p w:rsidR="00B44751" w:rsidRPr="00B44751" w:rsidRDefault="00B44751" w:rsidP="00B44751">
                  <w:pPr>
                    <w:pStyle w:val="Default"/>
                    <w:jc w:val="both"/>
                    <w:rPr>
                      <w:sz w:val="20"/>
                      <w:szCs w:val="20"/>
                    </w:rPr>
                  </w:pPr>
                </w:p>
                <w:p w:rsidR="00B44751" w:rsidRDefault="00B44751" w:rsidP="00B44751">
                  <w:pPr>
                    <w:pStyle w:val="Default"/>
                    <w:jc w:val="both"/>
                    <w:rPr>
                      <w:sz w:val="20"/>
                      <w:szCs w:val="20"/>
                    </w:rPr>
                  </w:pPr>
                  <w:r w:rsidRPr="00B44751">
                    <w:rPr>
                      <w:sz w:val="20"/>
                      <w:szCs w:val="20"/>
                    </w:rPr>
                    <w:t>Dentro de las entidades adscritas al Ministerio de Cultura se encu</w:t>
                  </w:r>
                  <w:r>
                    <w:rPr>
                      <w:sz w:val="20"/>
                      <w:szCs w:val="20"/>
                    </w:rPr>
                    <w:t>entra la Unidad Administrativa E</w:t>
                  </w:r>
                  <w:r w:rsidRPr="00B44751">
                    <w:rPr>
                      <w:sz w:val="20"/>
                      <w:szCs w:val="20"/>
                    </w:rPr>
                    <w:t xml:space="preserve">special </w:t>
                  </w:r>
                  <w:r>
                    <w:rPr>
                      <w:sz w:val="20"/>
                      <w:szCs w:val="20"/>
                    </w:rPr>
                    <w:t xml:space="preserve">- </w:t>
                  </w:r>
                  <w:r w:rsidRPr="00B44751">
                    <w:rPr>
                      <w:sz w:val="20"/>
                      <w:szCs w:val="20"/>
                    </w:rPr>
                    <w:t>Bib</w:t>
                  </w:r>
                  <w:r>
                    <w:rPr>
                      <w:sz w:val="20"/>
                      <w:szCs w:val="20"/>
                    </w:rPr>
                    <w:t xml:space="preserve">lioteca Nacional de Colombia. </w:t>
                  </w:r>
                </w:p>
                <w:p w:rsidR="00B44751" w:rsidRDefault="00B44751" w:rsidP="00B44751">
                  <w:pPr>
                    <w:pStyle w:val="Default"/>
                    <w:jc w:val="both"/>
                    <w:rPr>
                      <w:sz w:val="20"/>
                      <w:szCs w:val="20"/>
                    </w:rPr>
                  </w:pPr>
                </w:p>
                <w:p w:rsidR="00B44751" w:rsidRPr="00B44751" w:rsidRDefault="00B44751" w:rsidP="00B44751">
                  <w:pPr>
                    <w:pStyle w:val="Default"/>
                    <w:jc w:val="both"/>
                    <w:rPr>
                      <w:sz w:val="20"/>
                      <w:szCs w:val="20"/>
                    </w:rPr>
                  </w:pPr>
                  <w:r>
                    <w:rPr>
                      <w:sz w:val="20"/>
                      <w:szCs w:val="20"/>
                    </w:rPr>
                    <w:t>M</w:t>
                  </w:r>
                  <w:r w:rsidRPr="00B44751">
                    <w:rPr>
                      <w:sz w:val="20"/>
                      <w:szCs w:val="20"/>
                    </w:rPr>
                    <w:t xml:space="preserve">ediante la Ley 1379 de 2010 se organizó la </w:t>
                  </w:r>
                  <w:r>
                    <w:rPr>
                      <w:sz w:val="20"/>
                      <w:szCs w:val="20"/>
                    </w:rPr>
                    <w:t>Red Nacional de Bibliotecas P</w:t>
                  </w:r>
                  <w:r w:rsidRPr="00B44751">
                    <w:rPr>
                      <w:sz w:val="20"/>
                      <w:szCs w:val="20"/>
                    </w:rPr>
                    <w:t>úblicas.</w:t>
                  </w:r>
                </w:p>
                <w:p w:rsidR="00B44751" w:rsidRPr="00B44751" w:rsidRDefault="00B44751" w:rsidP="00B44751">
                  <w:pPr>
                    <w:pStyle w:val="Default"/>
                    <w:jc w:val="both"/>
                    <w:rPr>
                      <w:sz w:val="20"/>
                      <w:szCs w:val="20"/>
                    </w:rPr>
                  </w:pPr>
                </w:p>
                <w:p w:rsidR="00B44751" w:rsidRPr="00B44751" w:rsidRDefault="00B44751" w:rsidP="00B44751">
                  <w:pPr>
                    <w:pStyle w:val="Default"/>
                    <w:jc w:val="both"/>
                    <w:rPr>
                      <w:sz w:val="20"/>
                      <w:szCs w:val="20"/>
                    </w:rPr>
                  </w:pPr>
                  <w:r w:rsidRPr="00B44751">
                    <w:rPr>
                      <w:sz w:val="20"/>
                      <w:szCs w:val="20"/>
                    </w:rPr>
                    <w:t xml:space="preserve">La Ley estatutaria de discapacidad, Ley 1618 de 2013 en su </w:t>
                  </w:r>
                  <w:r>
                    <w:rPr>
                      <w:sz w:val="20"/>
                      <w:szCs w:val="20"/>
                    </w:rPr>
                    <w:t>artículo 17, establece que los departamentos, municipios y d</w:t>
                  </w:r>
                  <w:r w:rsidRPr="00B44751">
                    <w:rPr>
                      <w:sz w:val="20"/>
                      <w:szCs w:val="20"/>
                    </w:rPr>
                    <w:t xml:space="preserve">istritos deben garantizar el acceso a las personas con discapacidad a los recursos del Impuesto Nacional </w:t>
                  </w:r>
                  <w:r>
                    <w:rPr>
                      <w:sz w:val="20"/>
                      <w:szCs w:val="20"/>
                    </w:rPr>
                    <w:t>al Consumo a la telefonía móvil</w:t>
                  </w:r>
                  <w:r w:rsidRPr="00B44751">
                    <w:rPr>
                      <w:sz w:val="20"/>
                      <w:szCs w:val="20"/>
                    </w:rPr>
                    <w:t xml:space="preserve"> y</w:t>
                  </w:r>
                  <w:r>
                    <w:rPr>
                      <w:sz w:val="20"/>
                      <w:szCs w:val="20"/>
                    </w:rPr>
                    <w:t>,</w:t>
                  </w:r>
                  <w:r w:rsidRPr="00B44751">
                    <w:rPr>
                      <w:sz w:val="20"/>
                      <w:szCs w:val="20"/>
                    </w:rPr>
                    <w:t xml:space="preserve"> por tanto</w:t>
                  </w:r>
                  <w:r>
                    <w:rPr>
                      <w:sz w:val="20"/>
                      <w:szCs w:val="20"/>
                    </w:rPr>
                    <w:t>,</w:t>
                  </w:r>
                  <w:r w:rsidRPr="00B44751">
                    <w:rPr>
                      <w:sz w:val="20"/>
                      <w:szCs w:val="20"/>
                    </w:rPr>
                    <w:t xml:space="preserve"> se debe destinar mínimo un 3% de estos recursos para el fomento, promoción y desarrollo del deporte, la recreación de deportistas con discapacidad, y los programas culturales y artísticos de gestores y creadores culturales con discapacidad.</w:t>
                  </w:r>
                </w:p>
                <w:p w:rsidR="00B44751" w:rsidRPr="00B44751" w:rsidRDefault="00B44751" w:rsidP="00B44751">
                  <w:pPr>
                    <w:pStyle w:val="Default"/>
                    <w:jc w:val="both"/>
                    <w:rPr>
                      <w:sz w:val="20"/>
                      <w:szCs w:val="20"/>
                    </w:rPr>
                  </w:pPr>
                </w:p>
                <w:p w:rsidR="00B44751" w:rsidRPr="00B44751" w:rsidRDefault="00B44751" w:rsidP="00B44751">
                  <w:pPr>
                    <w:pStyle w:val="Default"/>
                    <w:jc w:val="both"/>
                    <w:rPr>
                      <w:sz w:val="20"/>
                      <w:szCs w:val="20"/>
                    </w:rPr>
                  </w:pPr>
                  <w:r>
                    <w:rPr>
                      <w:sz w:val="20"/>
                      <w:szCs w:val="20"/>
                    </w:rPr>
                    <w:t>L</w:t>
                  </w:r>
                  <w:r w:rsidRPr="00B44751">
                    <w:rPr>
                      <w:sz w:val="20"/>
                      <w:szCs w:val="20"/>
                    </w:rPr>
                    <w:t xml:space="preserve">a Ley 1819 de 2016, por la cual se adopta una reforma tributaria estructural, en su artículo 200 modificó el  artículo 512-1 del Estatuto Tributario generando el impuesto nacional al consumo a la prestación de los servicios de telefonía móvil, internet y navegación móvil, y servicio de datos. </w:t>
                  </w:r>
                </w:p>
                <w:p w:rsidR="00B44751" w:rsidRPr="00B44751" w:rsidRDefault="00B44751" w:rsidP="00B44751">
                  <w:pPr>
                    <w:pStyle w:val="Default"/>
                    <w:jc w:val="both"/>
                    <w:rPr>
                      <w:sz w:val="20"/>
                      <w:szCs w:val="20"/>
                    </w:rPr>
                  </w:pPr>
                </w:p>
                <w:p w:rsidR="00B44751" w:rsidRPr="00B44751" w:rsidRDefault="00B44751" w:rsidP="00B44751">
                  <w:pPr>
                    <w:pStyle w:val="Default"/>
                    <w:jc w:val="both"/>
                    <w:rPr>
                      <w:sz w:val="20"/>
                      <w:szCs w:val="20"/>
                    </w:rPr>
                  </w:pPr>
                  <w:r>
                    <w:rPr>
                      <w:sz w:val="20"/>
                      <w:szCs w:val="20"/>
                    </w:rPr>
                    <w:t>L</w:t>
                  </w:r>
                  <w:r w:rsidRPr="00B44751">
                    <w:rPr>
                      <w:sz w:val="20"/>
                      <w:szCs w:val="20"/>
                    </w:rPr>
                    <w:t xml:space="preserve">a Ley 1819 de 2016, en su artículo 201 modificó el artículo 512-2 del Estatuto Tributario Nacional en cuanto a la base gravable del tributo y la tarifa con relación al servicio de la telefonía móvil, internet y navegación móvil, y servicio de datos. </w:t>
                  </w:r>
                </w:p>
                <w:p w:rsidR="00B44751" w:rsidRPr="00B44751" w:rsidRDefault="00B44751" w:rsidP="00B44751">
                  <w:pPr>
                    <w:pStyle w:val="Default"/>
                    <w:jc w:val="both"/>
                    <w:rPr>
                      <w:sz w:val="20"/>
                      <w:szCs w:val="20"/>
                    </w:rPr>
                  </w:pPr>
                </w:p>
                <w:p w:rsidR="00B44751" w:rsidRPr="00B44751" w:rsidRDefault="00B44751" w:rsidP="00B44751">
                  <w:pPr>
                    <w:pStyle w:val="Default"/>
                    <w:jc w:val="both"/>
                    <w:rPr>
                      <w:sz w:val="20"/>
                      <w:szCs w:val="20"/>
                    </w:rPr>
                  </w:pPr>
                  <w:r>
                    <w:rPr>
                      <w:sz w:val="20"/>
                      <w:szCs w:val="20"/>
                    </w:rPr>
                    <w:t>S</w:t>
                  </w:r>
                  <w:r w:rsidRPr="00B44751">
                    <w:rPr>
                      <w:sz w:val="20"/>
                      <w:szCs w:val="20"/>
                    </w:rPr>
                    <w:t xml:space="preserve">e requiere reglamentar los aspectos relacionados con la destinación, ejecución y reintegro de los recursos provenientes del impuesto nacional al consumo a la telefonía móvil, internet y navegación móvil, y servicio de datos para el sector de la cultura.  </w:t>
                  </w:r>
                </w:p>
                <w:p w:rsidR="00B44751" w:rsidRPr="00B44751" w:rsidRDefault="00B44751" w:rsidP="00B44751">
                  <w:pPr>
                    <w:pStyle w:val="Default"/>
                    <w:jc w:val="both"/>
                    <w:rPr>
                      <w:sz w:val="20"/>
                      <w:szCs w:val="20"/>
                    </w:rPr>
                  </w:pPr>
                </w:p>
                <w:p w:rsidR="00275B1F" w:rsidRDefault="00275B1F" w:rsidP="00B44751">
                  <w:pPr>
                    <w:pStyle w:val="Default"/>
                    <w:jc w:val="both"/>
                    <w:rPr>
                      <w:sz w:val="20"/>
                      <w:szCs w:val="20"/>
                    </w:rPr>
                  </w:pPr>
                </w:p>
                <w:p w:rsidR="00275B1F" w:rsidRDefault="00275B1F" w:rsidP="00B44751">
                  <w:pPr>
                    <w:pStyle w:val="Default"/>
                    <w:jc w:val="both"/>
                    <w:rPr>
                      <w:sz w:val="20"/>
                      <w:szCs w:val="20"/>
                    </w:rPr>
                  </w:pPr>
                </w:p>
                <w:p w:rsidR="00275B1F" w:rsidRDefault="00275B1F" w:rsidP="00B44751">
                  <w:pPr>
                    <w:pStyle w:val="Default"/>
                    <w:jc w:val="both"/>
                    <w:rPr>
                      <w:sz w:val="20"/>
                      <w:szCs w:val="20"/>
                    </w:rPr>
                  </w:pPr>
                </w:p>
                <w:p w:rsidR="00B44751" w:rsidRPr="00B44751" w:rsidRDefault="00B44751" w:rsidP="00B44751">
                  <w:pPr>
                    <w:pStyle w:val="Default"/>
                    <w:jc w:val="both"/>
                    <w:rPr>
                      <w:sz w:val="20"/>
                      <w:szCs w:val="20"/>
                    </w:rPr>
                  </w:pPr>
                  <w:r>
                    <w:rPr>
                      <w:sz w:val="20"/>
                      <w:szCs w:val="20"/>
                    </w:rPr>
                    <w:t>C</w:t>
                  </w:r>
                  <w:r w:rsidRPr="00B44751">
                    <w:rPr>
                      <w:sz w:val="20"/>
                      <w:szCs w:val="20"/>
                    </w:rPr>
                    <w:t xml:space="preserve">on el objetivo de compilar y racionalizar las normas de carácter reglamentario que rigen en el sector cultura y contar con un instrumento jurídico único para el mismo, se expidió el Decreto Único Reglamentario Sectorial </w:t>
                  </w:r>
                  <w:r>
                    <w:rPr>
                      <w:sz w:val="20"/>
                      <w:szCs w:val="20"/>
                    </w:rPr>
                    <w:t>n.°</w:t>
                  </w:r>
                  <w:r w:rsidRPr="00B44751">
                    <w:rPr>
                      <w:sz w:val="20"/>
                      <w:szCs w:val="20"/>
                    </w:rPr>
                    <w:t xml:space="preserve"> 1080 de 2015.</w:t>
                  </w:r>
                </w:p>
                <w:p w:rsidR="00275B1F" w:rsidRPr="00B44751" w:rsidRDefault="00275B1F" w:rsidP="00B44751">
                  <w:pPr>
                    <w:pStyle w:val="Default"/>
                    <w:jc w:val="both"/>
                    <w:rPr>
                      <w:sz w:val="20"/>
                      <w:szCs w:val="20"/>
                    </w:rPr>
                  </w:pPr>
                </w:p>
                <w:p w:rsidR="00397AC7" w:rsidRPr="00005E76" w:rsidRDefault="00B44751" w:rsidP="00B44751">
                  <w:pPr>
                    <w:pStyle w:val="Default"/>
                    <w:jc w:val="both"/>
                    <w:rPr>
                      <w:sz w:val="20"/>
                      <w:szCs w:val="20"/>
                    </w:rPr>
                  </w:pPr>
                  <w:r>
                    <w:rPr>
                      <w:sz w:val="20"/>
                      <w:szCs w:val="20"/>
                    </w:rPr>
                    <w:t>E</w:t>
                  </w:r>
                  <w:r w:rsidRPr="00B44751">
                    <w:rPr>
                      <w:sz w:val="20"/>
                      <w:szCs w:val="20"/>
                    </w:rPr>
                    <w:t>s necesario incorporar en el Decreto Ú</w:t>
                  </w:r>
                  <w:r>
                    <w:rPr>
                      <w:sz w:val="20"/>
                      <w:szCs w:val="20"/>
                    </w:rPr>
                    <w:t>nico Reglamentario Sectorial n.°</w:t>
                  </w:r>
                  <w:r w:rsidRPr="00B44751">
                    <w:rPr>
                      <w:sz w:val="20"/>
                      <w:szCs w:val="20"/>
                    </w:rPr>
                    <w:t xml:space="preserve"> 1080 de 2015, las disposiciones referentes a la ejecución de los recursos del Impuesto Nacional al </w:t>
                  </w:r>
                  <w:r>
                    <w:rPr>
                      <w:sz w:val="20"/>
                      <w:szCs w:val="20"/>
                    </w:rPr>
                    <w:t>Consumo a la de telefonía móvil</w:t>
                  </w:r>
                  <w:r w:rsidRPr="00B44751">
                    <w:rPr>
                      <w:sz w:val="20"/>
                      <w:szCs w:val="20"/>
                    </w:rPr>
                    <w:t xml:space="preserve"> y servicio de datos para el sector de la cultura</w:t>
                  </w:r>
                  <w:r>
                    <w:rPr>
                      <w:sz w:val="20"/>
                      <w:szCs w:val="20"/>
                    </w:rPr>
                    <w:t>.</w:t>
                  </w:r>
                </w:p>
              </w:tc>
            </w:tr>
          </w:tbl>
          <w:p w:rsidR="00354FEA" w:rsidRPr="00005E76" w:rsidRDefault="00354FEA" w:rsidP="00354FEA">
            <w:pPr>
              <w:pStyle w:val="Prrafodelista"/>
              <w:ind w:left="0"/>
              <w:jc w:val="both"/>
              <w:rPr>
                <w:rFonts w:ascii="Verdana" w:eastAsiaTheme="minorHAnsi" w:hAnsi="Verdana" w:cs="Verdana"/>
                <w:color w:val="000000"/>
                <w:sz w:val="20"/>
                <w:szCs w:val="20"/>
                <w:lang w:eastAsia="en-US"/>
              </w:rPr>
            </w:pPr>
          </w:p>
        </w:tc>
      </w:tr>
      <w:tr w:rsidR="00354FEA" w:rsidRPr="00005E76" w:rsidTr="00B615FD">
        <w:tc>
          <w:tcPr>
            <w:tcW w:w="9962" w:type="dxa"/>
            <w:shd w:val="clear" w:color="auto" w:fill="F2F2F2" w:themeFill="background1" w:themeFillShade="F2"/>
          </w:tcPr>
          <w:p w:rsidR="00354FEA" w:rsidRPr="00005E76" w:rsidRDefault="00354FEA" w:rsidP="002723EB">
            <w:pPr>
              <w:pStyle w:val="Prrafodelista"/>
              <w:numPr>
                <w:ilvl w:val="0"/>
                <w:numId w:val="1"/>
              </w:numPr>
              <w:jc w:val="center"/>
              <w:rPr>
                <w:rFonts w:ascii="Verdana" w:hAnsi="Verdana" w:cs="Arial"/>
                <w:sz w:val="20"/>
                <w:szCs w:val="20"/>
              </w:rPr>
            </w:pPr>
            <w:r w:rsidRPr="00005E76">
              <w:rPr>
                <w:rFonts w:ascii="Verdana" w:hAnsi="Verdana" w:cs="Arial"/>
                <w:b/>
                <w:sz w:val="20"/>
                <w:szCs w:val="20"/>
              </w:rPr>
              <w:lastRenderedPageBreak/>
              <w:t>Impactos esperados</w:t>
            </w:r>
          </w:p>
        </w:tc>
      </w:tr>
      <w:tr w:rsidR="00354FEA" w:rsidRPr="00005E76" w:rsidTr="00B615FD">
        <w:tc>
          <w:tcPr>
            <w:tcW w:w="9962" w:type="dxa"/>
            <w:shd w:val="clear" w:color="auto" w:fill="auto"/>
          </w:tcPr>
          <w:p w:rsidR="00354FEA" w:rsidRPr="00005E76" w:rsidRDefault="00354FEA" w:rsidP="00354FEA">
            <w:pPr>
              <w:pStyle w:val="Default"/>
              <w:jc w:val="both"/>
              <w:rPr>
                <w:sz w:val="20"/>
                <w:szCs w:val="20"/>
              </w:rPr>
            </w:pPr>
          </w:p>
          <w:p w:rsidR="00354FEA" w:rsidRDefault="00354FEA" w:rsidP="00397AC7">
            <w:pPr>
              <w:pStyle w:val="Default"/>
              <w:jc w:val="both"/>
              <w:rPr>
                <w:sz w:val="20"/>
                <w:szCs w:val="20"/>
              </w:rPr>
            </w:pPr>
            <w:r w:rsidRPr="00005E76">
              <w:rPr>
                <w:sz w:val="20"/>
                <w:szCs w:val="20"/>
              </w:rPr>
              <w:t>Con la expedición del presente decreto</w:t>
            </w:r>
            <w:r w:rsidR="00397AC7">
              <w:rPr>
                <w:sz w:val="20"/>
                <w:szCs w:val="20"/>
              </w:rPr>
              <w:t xml:space="preserve"> se </w:t>
            </w:r>
            <w:r w:rsidR="00B44751">
              <w:rPr>
                <w:sz w:val="20"/>
                <w:szCs w:val="20"/>
              </w:rPr>
              <w:t xml:space="preserve">pretende </w:t>
            </w:r>
            <w:r w:rsidR="00B44751" w:rsidRPr="00B44751">
              <w:rPr>
                <w:sz w:val="20"/>
                <w:szCs w:val="20"/>
              </w:rPr>
              <w:t xml:space="preserve">determinar la destinación y la </w:t>
            </w:r>
            <w:r w:rsidR="00977F87">
              <w:rPr>
                <w:sz w:val="20"/>
                <w:szCs w:val="20"/>
              </w:rPr>
              <w:t xml:space="preserve">forma de </w:t>
            </w:r>
            <w:r w:rsidR="00B44751" w:rsidRPr="00B44751">
              <w:rPr>
                <w:sz w:val="20"/>
                <w:szCs w:val="20"/>
              </w:rPr>
              <w:t xml:space="preserve">ejecución </w:t>
            </w:r>
            <w:r w:rsidR="00977F87">
              <w:rPr>
                <w:sz w:val="20"/>
                <w:szCs w:val="20"/>
              </w:rPr>
              <w:t xml:space="preserve">por parte de las entidades territoriales </w:t>
            </w:r>
            <w:r w:rsidR="00B44751" w:rsidRPr="00B44751">
              <w:rPr>
                <w:sz w:val="20"/>
                <w:szCs w:val="20"/>
              </w:rPr>
              <w:t xml:space="preserve">de los </w:t>
            </w:r>
            <w:r w:rsidR="00977F87">
              <w:rPr>
                <w:sz w:val="20"/>
                <w:szCs w:val="20"/>
              </w:rPr>
              <w:t xml:space="preserve">recursos provenientes </w:t>
            </w:r>
            <w:r w:rsidR="00977F87" w:rsidRPr="00977F87">
              <w:rPr>
                <w:sz w:val="20"/>
                <w:szCs w:val="20"/>
              </w:rPr>
              <w:t>el impuesto nacional al consumo a la prestación de los servicios de telefonía móvil, internet y navegación móvil, y servicio de datos.</w:t>
            </w:r>
          </w:p>
          <w:p w:rsidR="002723AE" w:rsidRPr="00005E76" w:rsidRDefault="002723AE" w:rsidP="00397AC7">
            <w:pPr>
              <w:pStyle w:val="Default"/>
              <w:jc w:val="both"/>
              <w:rPr>
                <w:rFonts w:cs="Arial"/>
                <w:b/>
                <w:sz w:val="20"/>
                <w:szCs w:val="20"/>
              </w:rPr>
            </w:pPr>
          </w:p>
        </w:tc>
      </w:tr>
      <w:tr w:rsidR="00354FEA" w:rsidRPr="00005E76" w:rsidTr="00B615FD">
        <w:tc>
          <w:tcPr>
            <w:tcW w:w="9962" w:type="dxa"/>
            <w:shd w:val="clear" w:color="auto" w:fill="auto"/>
          </w:tcPr>
          <w:p w:rsidR="00354FEA" w:rsidRPr="00005E76" w:rsidRDefault="00354FEA" w:rsidP="00655296">
            <w:pPr>
              <w:pStyle w:val="NormalWeb"/>
              <w:spacing w:before="0" w:beforeAutospacing="0" w:after="0" w:afterAutospacing="0"/>
              <w:jc w:val="both"/>
              <w:rPr>
                <w:rFonts w:ascii="Verdana" w:hAnsi="Verdana" w:cs="Arial"/>
                <w:bCs/>
                <w:sz w:val="20"/>
                <w:szCs w:val="20"/>
              </w:rPr>
            </w:pPr>
            <w:r w:rsidRPr="00005E76">
              <w:rPr>
                <w:rFonts w:ascii="Verdana" w:hAnsi="Verdana" w:cs="Arial"/>
                <w:b/>
                <w:bCs/>
                <w:sz w:val="20"/>
                <w:szCs w:val="20"/>
              </w:rPr>
              <w:t>2.1. Oportunidad del proyecto</w:t>
            </w:r>
          </w:p>
        </w:tc>
      </w:tr>
      <w:tr w:rsidR="00354FEA" w:rsidRPr="00005E76" w:rsidTr="00B615FD">
        <w:tc>
          <w:tcPr>
            <w:tcW w:w="9962" w:type="dxa"/>
            <w:shd w:val="clear" w:color="auto" w:fill="auto"/>
          </w:tcPr>
          <w:p w:rsidR="00397AC7" w:rsidRDefault="00397AC7" w:rsidP="00354FEA">
            <w:pPr>
              <w:pStyle w:val="Default"/>
              <w:jc w:val="both"/>
              <w:rPr>
                <w:sz w:val="20"/>
                <w:szCs w:val="20"/>
              </w:rPr>
            </w:pPr>
          </w:p>
          <w:p w:rsidR="00354FEA" w:rsidRPr="00005E76" w:rsidRDefault="00397AC7" w:rsidP="00354FEA">
            <w:pPr>
              <w:pStyle w:val="Default"/>
              <w:jc w:val="both"/>
              <w:rPr>
                <w:sz w:val="20"/>
                <w:szCs w:val="20"/>
              </w:rPr>
            </w:pPr>
            <w:r>
              <w:rPr>
                <w:sz w:val="20"/>
                <w:szCs w:val="20"/>
              </w:rPr>
              <w:t>Es el momento o</w:t>
            </w:r>
            <w:r w:rsidR="00977F87">
              <w:rPr>
                <w:sz w:val="20"/>
                <w:szCs w:val="20"/>
              </w:rPr>
              <w:t>portuno para la expedición del presente D</w:t>
            </w:r>
            <w:r>
              <w:rPr>
                <w:sz w:val="20"/>
                <w:szCs w:val="20"/>
              </w:rPr>
              <w:t>ecreto</w:t>
            </w:r>
            <w:r w:rsidR="00977F87">
              <w:rPr>
                <w:sz w:val="20"/>
                <w:szCs w:val="20"/>
              </w:rPr>
              <w:t xml:space="preserve"> reglamentario</w:t>
            </w:r>
            <w:r>
              <w:rPr>
                <w:sz w:val="20"/>
                <w:szCs w:val="20"/>
              </w:rPr>
              <w:t xml:space="preserve">, </w:t>
            </w:r>
            <w:r w:rsidR="00977F87">
              <w:rPr>
                <w:sz w:val="20"/>
                <w:szCs w:val="20"/>
              </w:rPr>
              <w:t xml:space="preserve">a partir de la reforma realizada </w:t>
            </w:r>
            <w:r w:rsidR="00275B1F">
              <w:rPr>
                <w:sz w:val="20"/>
                <w:szCs w:val="20"/>
              </w:rPr>
              <w:t>reciente</w:t>
            </w:r>
            <w:r w:rsidR="00275B1F">
              <w:rPr>
                <w:sz w:val="20"/>
                <w:szCs w:val="20"/>
              </w:rPr>
              <w:t>mente</w:t>
            </w:r>
            <w:r w:rsidR="00275B1F">
              <w:rPr>
                <w:sz w:val="20"/>
                <w:szCs w:val="20"/>
              </w:rPr>
              <w:t xml:space="preserve"> </w:t>
            </w:r>
            <w:r w:rsidR="00977F87">
              <w:rPr>
                <w:sz w:val="20"/>
                <w:szCs w:val="20"/>
              </w:rPr>
              <w:t xml:space="preserve">por medio de la </w:t>
            </w:r>
            <w:r w:rsidR="00977F87" w:rsidRPr="00B44751">
              <w:rPr>
                <w:sz w:val="20"/>
                <w:szCs w:val="20"/>
              </w:rPr>
              <w:t>Ley 1819 de 2016</w:t>
            </w:r>
            <w:r w:rsidR="00977F87">
              <w:rPr>
                <w:sz w:val="20"/>
                <w:szCs w:val="20"/>
              </w:rPr>
              <w:t xml:space="preserve">, </w:t>
            </w:r>
            <w:r w:rsidR="00977F87" w:rsidRPr="00B44751">
              <w:rPr>
                <w:sz w:val="20"/>
                <w:szCs w:val="20"/>
              </w:rPr>
              <w:t xml:space="preserve">por la cual se adopta una reforma tributaria estructural, </w:t>
            </w:r>
            <w:r w:rsidR="00977F87">
              <w:rPr>
                <w:sz w:val="20"/>
                <w:szCs w:val="20"/>
              </w:rPr>
              <w:t>que modificó a través de sus artículos 200 y 201</w:t>
            </w:r>
            <w:r w:rsidR="00977F87" w:rsidRPr="00B44751">
              <w:rPr>
                <w:sz w:val="20"/>
                <w:szCs w:val="20"/>
              </w:rPr>
              <w:t xml:space="preserve"> el impuesto nacional al consumo a la prestación de los servicios de telefonía móvil, internet y navegación móvil, y servicio de datos. </w:t>
            </w:r>
          </w:p>
          <w:p w:rsidR="00354FEA" w:rsidRPr="00005E76" w:rsidRDefault="00354FEA" w:rsidP="00655296">
            <w:pPr>
              <w:pStyle w:val="NormalWeb"/>
              <w:spacing w:before="0" w:beforeAutospacing="0" w:after="0" w:afterAutospacing="0"/>
              <w:jc w:val="both"/>
              <w:rPr>
                <w:rFonts w:ascii="Verdana" w:hAnsi="Verdana" w:cs="Arial"/>
                <w:bCs/>
                <w:sz w:val="20"/>
                <w:szCs w:val="20"/>
              </w:rPr>
            </w:pPr>
          </w:p>
        </w:tc>
      </w:tr>
      <w:tr w:rsidR="00354FEA" w:rsidRPr="00005E76" w:rsidTr="00B615FD">
        <w:tc>
          <w:tcPr>
            <w:tcW w:w="9962" w:type="dxa"/>
            <w:shd w:val="clear" w:color="auto" w:fill="auto"/>
          </w:tcPr>
          <w:p w:rsidR="00354FEA" w:rsidRPr="00005E76" w:rsidRDefault="00354FEA" w:rsidP="00354FEA">
            <w:pPr>
              <w:pStyle w:val="NormalWeb"/>
              <w:spacing w:before="0" w:beforeAutospacing="0" w:after="0" w:afterAutospacing="0"/>
              <w:jc w:val="both"/>
              <w:rPr>
                <w:rFonts w:ascii="Verdana" w:hAnsi="Verdana" w:cs="Arial"/>
                <w:bCs/>
                <w:sz w:val="20"/>
                <w:szCs w:val="20"/>
              </w:rPr>
            </w:pPr>
            <w:r w:rsidRPr="00005E76">
              <w:rPr>
                <w:rFonts w:ascii="Verdana" w:hAnsi="Verdana" w:cs="Arial"/>
                <w:b/>
                <w:bCs/>
                <w:sz w:val="20"/>
                <w:szCs w:val="20"/>
              </w:rPr>
              <w:t>2.2. Impacto jurídico</w:t>
            </w:r>
          </w:p>
        </w:tc>
      </w:tr>
      <w:tr w:rsidR="00354FEA" w:rsidRPr="00005E76" w:rsidTr="00B615FD">
        <w:tc>
          <w:tcPr>
            <w:tcW w:w="9962" w:type="dxa"/>
            <w:shd w:val="clear" w:color="auto" w:fill="auto"/>
          </w:tcPr>
          <w:p w:rsidR="00354FEA" w:rsidRPr="00005E76" w:rsidRDefault="00354FEA" w:rsidP="00354FEA">
            <w:pPr>
              <w:pStyle w:val="Default"/>
              <w:jc w:val="both"/>
              <w:rPr>
                <w:sz w:val="20"/>
                <w:szCs w:val="20"/>
              </w:rPr>
            </w:pPr>
          </w:p>
          <w:p w:rsidR="00354FEA" w:rsidRDefault="00397AC7" w:rsidP="00977F87">
            <w:pPr>
              <w:pStyle w:val="Default"/>
              <w:jc w:val="both"/>
              <w:rPr>
                <w:sz w:val="20"/>
                <w:szCs w:val="20"/>
              </w:rPr>
            </w:pPr>
            <w:r>
              <w:rPr>
                <w:sz w:val="20"/>
                <w:szCs w:val="20"/>
              </w:rPr>
              <w:t>Con la expedición del proyecto de d</w:t>
            </w:r>
            <w:r w:rsidR="00354FEA" w:rsidRPr="00005E76">
              <w:rPr>
                <w:sz w:val="20"/>
                <w:szCs w:val="20"/>
              </w:rPr>
              <w:t>ecret</w:t>
            </w:r>
            <w:r>
              <w:rPr>
                <w:sz w:val="20"/>
                <w:szCs w:val="20"/>
              </w:rPr>
              <w:t>o</w:t>
            </w:r>
            <w:r w:rsidR="00275B1F">
              <w:rPr>
                <w:sz w:val="20"/>
                <w:szCs w:val="20"/>
              </w:rPr>
              <w:t>,</w:t>
            </w:r>
            <w:r>
              <w:rPr>
                <w:sz w:val="20"/>
                <w:szCs w:val="20"/>
              </w:rPr>
              <w:t xml:space="preserve"> que adiciona del Decreto 1080 de 2015</w:t>
            </w:r>
            <w:r w:rsidR="00354FEA" w:rsidRPr="00005E76">
              <w:rPr>
                <w:sz w:val="20"/>
                <w:szCs w:val="20"/>
              </w:rPr>
              <w:t xml:space="preserve">, se </w:t>
            </w:r>
            <w:r w:rsidR="00977F87">
              <w:rPr>
                <w:sz w:val="20"/>
                <w:szCs w:val="20"/>
              </w:rPr>
              <w:t>responde a la ne</w:t>
            </w:r>
            <w:r w:rsidR="00D62FF6">
              <w:rPr>
                <w:sz w:val="20"/>
                <w:szCs w:val="20"/>
              </w:rPr>
              <w:t xml:space="preserve">cesidad de reglamentación </w:t>
            </w:r>
            <w:r w:rsidR="00275B1F">
              <w:rPr>
                <w:sz w:val="20"/>
                <w:szCs w:val="20"/>
              </w:rPr>
              <w:t>de la</w:t>
            </w:r>
            <w:r w:rsidR="00977F87">
              <w:rPr>
                <w:sz w:val="20"/>
                <w:szCs w:val="20"/>
              </w:rPr>
              <w:t xml:space="preserve"> reciente norma que modificó </w:t>
            </w:r>
            <w:r w:rsidR="00275B1F">
              <w:rPr>
                <w:sz w:val="20"/>
                <w:szCs w:val="20"/>
              </w:rPr>
              <w:t>el Impuesto Nacional al C</w:t>
            </w:r>
            <w:r w:rsidR="00977F87" w:rsidRPr="00B44751">
              <w:rPr>
                <w:sz w:val="20"/>
                <w:szCs w:val="20"/>
              </w:rPr>
              <w:t>onsumo a la prestación de los servicios de telefonía móvil, internet y navegación móvil, y se</w:t>
            </w:r>
            <w:r w:rsidR="00977F87">
              <w:rPr>
                <w:sz w:val="20"/>
                <w:szCs w:val="20"/>
              </w:rPr>
              <w:t>rvicio de datos, y la forma en que las entidades territoriales deberán ejecutar los recursos destinados al sector cultura</w:t>
            </w:r>
            <w:r w:rsidR="00D62FF6">
              <w:rPr>
                <w:sz w:val="20"/>
                <w:szCs w:val="20"/>
              </w:rPr>
              <w:t>.</w:t>
            </w:r>
          </w:p>
          <w:p w:rsidR="00D62FF6" w:rsidRPr="00005E76" w:rsidRDefault="00D62FF6" w:rsidP="00D62FF6">
            <w:pPr>
              <w:pStyle w:val="Default"/>
              <w:jc w:val="both"/>
              <w:rPr>
                <w:rFonts w:cs="Arial"/>
                <w:bCs/>
                <w:sz w:val="20"/>
                <w:szCs w:val="20"/>
              </w:rPr>
            </w:pPr>
          </w:p>
        </w:tc>
      </w:tr>
      <w:tr w:rsidR="00354FEA" w:rsidRPr="00005E76" w:rsidTr="00B615FD">
        <w:tc>
          <w:tcPr>
            <w:tcW w:w="9962" w:type="dxa"/>
            <w:shd w:val="clear" w:color="auto" w:fill="auto"/>
          </w:tcPr>
          <w:p w:rsidR="00354FEA" w:rsidRPr="00005E76" w:rsidRDefault="00354FEA" w:rsidP="00655296">
            <w:pPr>
              <w:pStyle w:val="NormalWeb"/>
              <w:spacing w:before="0" w:beforeAutospacing="0" w:after="0" w:afterAutospacing="0"/>
              <w:jc w:val="both"/>
              <w:rPr>
                <w:rFonts w:ascii="Verdana" w:hAnsi="Verdana" w:cs="Arial"/>
                <w:b/>
                <w:bCs/>
                <w:sz w:val="20"/>
                <w:szCs w:val="20"/>
              </w:rPr>
            </w:pPr>
            <w:r w:rsidRPr="00005E76">
              <w:rPr>
                <w:rFonts w:ascii="Verdana" w:hAnsi="Verdana" w:cs="Arial"/>
                <w:b/>
                <w:bCs/>
                <w:sz w:val="20"/>
                <w:szCs w:val="20"/>
              </w:rPr>
              <w:t>2.3. Impacto económic</w:t>
            </w:r>
            <w:r w:rsidR="0003784A" w:rsidRPr="00005E76">
              <w:rPr>
                <w:rFonts w:ascii="Verdana" w:hAnsi="Verdana" w:cs="Arial"/>
                <w:b/>
                <w:bCs/>
                <w:sz w:val="20"/>
                <w:szCs w:val="20"/>
              </w:rPr>
              <w:t>o</w:t>
            </w:r>
          </w:p>
        </w:tc>
      </w:tr>
      <w:tr w:rsidR="00354FEA" w:rsidRPr="00005E76" w:rsidTr="00B615FD">
        <w:tc>
          <w:tcPr>
            <w:tcW w:w="9962" w:type="dxa"/>
            <w:shd w:val="clear" w:color="auto" w:fill="auto"/>
          </w:tcPr>
          <w:p w:rsidR="0003784A" w:rsidRPr="00005E76" w:rsidRDefault="0003784A" w:rsidP="0003784A">
            <w:pPr>
              <w:pStyle w:val="Default"/>
              <w:jc w:val="both"/>
              <w:rPr>
                <w:sz w:val="20"/>
                <w:szCs w:val="20"/>
              </w:rPr>
            </w:pPr>
          </w:p>
          <w:p w:rsidR="0003784A" w:rsidRPr="00005E76" w:rsidRDefault="0003784A" w:rsidP="0003784A">
            <w:pPr>
              <w:pStyle w:val="Default"/>
              <w:jc w:val="both"/>
              <w:rPr>
                <w:sz w:val="20"/>
                <w:szCs w:val="20"/>
              </w:rPr>
            </w:pPr>
            <w:r w:rsidRPr="00005E76">
              <w:rPr>
                <w:sz w:val="20"/>
                <w:szCs w:val="20"/>
              </w:rPr>
              <w:t>Esta medida impactará directame</w:t>
            </w:r>
            <w:r w:rsidR="00D62FF6">
              <w:rPr>
                <w:sz w:val="20"/>
                <w:szCs w:val="20"/>
              </w:rPr>
              <w:t>nte al sector cultural</w:t>
            </w:r>
            <w:r w:rsidRPr="00005E76">
              <w:rPr>
                <w:sz w:val="20"/>
                <w:szCs w:val="20"/>
              </w:rPr>
              <w:t xml:space="preserve">, </w:t>
            </w:r>
            <w:r w:rsidR="00D62FF6">
              <w:rPr>
                <w:sz w:val="20"/>
                <w:szCs w:val="20"/>
              </w:rPr>
              <w:t>por cuanto se espera que facilite</w:t>
            </w:r>
            <w:r w:rsidRPr="00005E76">
              <w:rPr>
                <w:sz w:val="20"/>
                <w:szCs w:val="20"/>
              </w:rPr>
              <w:t xml:space="preserve"> </w:t>
            </w:r>
            <w:r w:rsidR="00977F87">
              <w:rPr>
                <w:sz w:val="20"/>
                <w:szCs w:val="20"/>
              </w:rPr>
              <w:t xml:space="preserve">la ejecución por parte de las entidades territoriales de los recursos recaudados por concepto del </w:t>
            </w:r>
            <w:r w:rsidR="00275B1F">
              <w:rPr>
                <w:sz w:val="20"/>
                <w:szCs w:val="20"/>
              </w:rPr>
              <w:t>Impuesto Nacional al C</w:t>
            </w:r>
            <w:r w:rsidR="00977F87" w:rsidRPr="00B44751">
              <w:rPr>
                <w:sz w:val="20"/>
                <w:szCs w:val="20"/>
              </w:rPr>
              <w:t>onsumo a la prestación de los servicios de telefonía móvil, internet y navegación móvil, y se</w:t>
            </w:r>
            <w:r w:rsidR="00977F87">
              <w:rPr>
                <w:sz w:val="20"/>
                <w:szCs w:val="20"/>
              </w:rPr>
              <w:t>rvicio de datos</w:t>
            </w:r>
            <w:r w:rsidR="00D62FF6">
              <w:rPr>
                <w:sz w:val="20"/>
                <w:szCs w:val="20"/>
              </w:rPr>
              <w:t>.</w:t>
            </w:r>
          </w:p>
          <w:p w:rsidR="00ED4014" w:rsidRPr="00005E76" w:rsidRDefault="00ED4014" w:rsidP="00D62FF6">
            <w:pPr>
              <w:pStyle w:val="NormalWeb"/>
              <w:spacing w:before="0" w:beforeAutospacing="0" w:after="0" w:afterAutospacing="0"/>
              <w:jc w:val="both"/>
              <w:rPr>
                <w:rFonts w:ascii="Verdana" w:eastAsiaTheme="minorHAnsi" w:hAnsi="Verdana" w:cs="Verdana"/>
                <w:color w:val="000000"/>
                <w:sz w:val="20"/>
                <w:szCs w:val="20"/>
                <w:lang w:eastAsia="en-US"/>
              </w:rPr>
            </w:pPr>
          </w:p>
        </w:tc>
      </w:tr>
      <w:tr w:rsidR="00354FEA" w:rsidRPr="00005E76" w:rsidTr="00B615FD">
        <w:tc>
          <w:tcPr>
            <w:tcW w:w="9962" w:type="dxa"/>
            <w:shd w:val="clear" w:color="auto" w:fill="auto"/>
          </w:tcPr>
          <w:p w:rsidR="00354FEA" w:rsidRPr="00005E76" w:rsidRDefault="0003784A" w:rsidP="00655296">
            <w:pPr>
              <w:pStyle w:val="NormalWeb"/>
              <w:spacing w:before="0" w:beforeAutospacing="0" w:after="0" w:afterAutospacing="0"/>
              <w:jc w:val="both"/>
              <w:rPr>
                <w:rFonts w:ascii="Verdana" w:hAnsi="Verdana" w:cs="Arial"/>
                <w:b/>
                <w:bCs/>
                <w:sz w:val="20"/>
                <w:szCs w:val="20"/>
              </w:rPr>
            </w:pPr>
            <w:r w:rsidRPr="00005E76">
              <w:rPr>
                <w:rFonts w:ascii="Verdana" w:hAnsi="Verdana" w:cs="Arial"/>
                <w:b/>
                <w:bCs/>
                <w:sz w:val="20"/>
                <w:szCs w:val="20"/>
              </w:rPr>
              <w:t>2.4. Impacto presupuestal</w:t>
            </w:r>
          </w:p>
        </w:tc>
      </w:tr>
      <w:tr w:rsidR="0003784A" w:rsidRPr="00005E76" w:rsidTr="00B615FD">
        <w:tc>
          <w:tcPr>
            <w:tcW w:w="9962" w:type="dxa"/>
            <w:shd w:val="clear" w:color="auto" w:fill="auto"/>
          </w:tcPr>
          <w:p w:rsidR="0003784A" w:rsidRPr="00005E76" w:rsidRDefault="0003784A" w:rsidP="0003784A">
            <w:pPr>
              <w:pStyle w:val="Default"/>
              <w:jc w:val="both"/>
              <w:rPr>
                <w:sz w:val="20"/>
                <w:szCs w:val="20"/>
              </w:rPr>
            </w:pPr>
          </w:p>
          <w:p w:rsidR="0003784A" w:rsidRPr="00005E76" w:rsidRDefault="00D62FF6" w:rsidP="0003784A">
            <w:pPr>
              <w:pStyle w:val="Default"/>
              <w:jc w:val="both"/>
              <w:rPr>
                <w:sz w:val="20"/>
                <w:szCs w:val="20"/>
              </w:rPr>
            </w:pPr>
            <w:r>
              <w:rPr>
                <w:sz w:val="20"/>
                <w:szCs w:val="20"/>
              </w:rPr>
              <w:t>L</w:t>
            </w:r>
            <w:r w:rsidRPr="00005E76">
              <w:rPr>
                <w:sz w:val="20"/>
                <w:szCs w:val="20"/>
              </w:rPr>
              <w:t xml:space="preserve">os costos fiscales del proyecto normativo </w:t>
            </w:r>
            <w:r>
              <w:rPr>
                <w:sz w:val="20"/>
                <w:szCs w:val="20"/>
              </w:rPr>
              <w:t xml:space="preserve">y </w:t>
            </w:r>
            <w:r w:rsidRPr="00005E76">
              <w:rPr>
                <w:sz w:val="20"/>
                <w:szCs w:val="20"/>
              </w:rPr>
              <w:t>la fuente para la financiación</w:t>
            </w:r>
            <w:r>
              <w:rPr>
                <w:sz w:val="20"/>
                <w:szCs w:val="20"/>
              </w:rPr>
              <w:t xml:space="preserve"> provendrán del mismo recaudo que se realice en virtud del proyecto de decreto.</w:t>
            </w:r>
            <w:r w:rsidR="0003784A" w:rsidRPr="00005E76">
              <w:rPr>
                <w:sz w:val="20"/>
                <w:szCs w:val="20"/>
              </w:rPr>
              <w:t xml:space="preserve"> </w:t>
            </w:r>
          </w:p>
          <w:p w:rsidR="0003784A" w:rsidRPr="00005E76" w:rsidRDefault="0003784A" w:rsidP="0003784A">
            <w:pPr>
              <w:pStyle w:val="Default"/>
              <w:jc w:val="both"/>
              <w:rPr>
                <w:sz w:val="20"/>
                <w:szCs w:val="20"/>
              </w:rPr>
            </w:pPr>
          </w:p>
          <w:p w:rsidR="0003784A" w:rsidRPr="00005E76" w:rsidRDefault="0003784A" w:rsidP="0003784A">
            <w:pPr>
              <w:pStyle w:val="Default"/>
              <w:jc w:val="both"/>
              <w:rPr>
                <w:sz w:val="20"/>
                <w:szCs w:val="20"/>
              </w:rPr>
            </w:pPr>
            <w:r w:rsidRPr="00005E76">
              <w:rPr>
                <w:sz w:val="20"/>
                <w:szCs w:val="20"/>
              </w:rPr>
              <w:t xml:space="preserve">La expedición del proyecto normativo no requiere de Certificado de Disponibilidad Presupuestal. </w:t>
            </w:r>
          </w:p>
          <w:p w:rsidR="0003784A" w:rsidRPr="00005E76" w:rsidRDefault="0003784A" w:rsidP="0003784A">
            <w:pPr>
              <w:pStyle w:val="NormalWeb"/>
              <w:spacing w:before="0" w:beforeAutospacing="0" w:after="0" w:afterAutospacing="0"/>
              <w:jc w:val="both"/>
              <w:rPr>
                <w:rFonts w:ascii="Verdana" w:hAnsi="Verdana" w:cs="Arial"/>
                <w:b/>
                <w:bCs/>
                <w:sz w:val="20"/>
                <w:szCs w:val="20"/>
              </w:rPr>
            </w:pPr>
          </w:p>
        </w:tc>
      </w:tr>
      <w:tr w:rsidR="00354FEA" w:rsidRPr="00005E76" w:rsidTr="00B615FD">
        <w:tc>
          <w:tcPr>
            <w:tcW w:w="9962" w:type="dxa"/>
            <w:shd w:val="clear" w:color="auto" w:fill="auto"/>
          </w:tcPr>
          <w:p w:rsidR="00354FEA" w:rsidRPr="00005E76" w:rsidRDefault="00354FEA" w:rsidP="00655296">
            <w:pPr>
              <w:pStyle w:val="NormalWeb"/>
              <w:spacing w:before="0" w:beforeAutospacing="0" w:after="0" w:afterAutospacing="0"/>
              <w:jc w:val="both"/>
              <w:rPr>
                <w:rFonts w:ascii="Verdana" w:hAnsi="Verdana" w:cs="Arial"/>
                <w:b/>
                <w:sz w:val="20"/>
                <w:szCs w:val="20"/>
              </w:rPr>
            </w:pPr>
            <w:r w:rsidRPr="00005E76">
              <w:rPr>
                <w:rFonts w:ascii="Verdana" w:hAnsi="Verdana" w:cs="Arial"/>
                <w:b/>
                <w:sz w:val="20"/>
                <w:szCs w:val="20"/>
              </w:rPr>
              <w:t>2.5. Impacto ambiental, ecológico</w:t>
            </w:r>
            <w:r w:rsidR="0003784A" w:rsidRPr="00005E76">
              <w:rPr>
                <w:rFonts w:ascii="Verdana" w:hAnsi="Verdana" w:cs="Arial"/>
                <w:b/>
                <w:sz w:val="20"/>
                <w:szCs w:val="20"/>
              </w:rPr>
              <w:t xml:space="preserve"> y sobre el patrimonio cultural</w:t>
            </w:r>
          </w:p>
        </w:tc>
      </w:tr>
      <w:tr w:rsidR="00354FEA" w:rsidRPr="00005E76" w:rsidTr="00B615FD">
        <w:tc>
          <w:tcPr>
            <w:tcW w:w="9962" w:type="dxa"/>
            <w:shd w:val="clear" w:color="auto" w:fill="auto"/>
          </w:tcPr>
          <w:p w:rsidR="0003784A" w:rsidRPr="00005E76" w:rsidRDefault="0003784A" w:rsidP="0003784A">
            <w:pPr>
              <w:pStyle w:val="Default"/>
              <w:jc w:val="both"/>
              <w:rPr>
                <w:sz w:val="20"/>
                <w:szCs w:val="20"/>
              </w:rPr>
            </w:pPr>
          </w:p>
          <w:p w:rsidR="00275B1F" w:rsidRDefault="00275B1F" w:rsidP="00275B1F">
            <w:pPr>
              <w:pStyle w:val="Default"/>
              <w:jc w:val="both"/>
              <w:rPr>
                <w:sz w:val="20"/>
                <w:szCs w:val="20"/>
              </w:rPr>
            </w:pPr>
            <w:r w:rsidRPr="00275B1F">
              <w:rPr>
                <w:sz w:val="20"/>
                <w:szCs w:val="20"/>
              </w:rPr>
              <w:t xml:space="preserve">El proyecto de Decreto no tiene ningún tipo de impacto ambiental. </w:t>
            </w:r>
          </w:p>
          <w:p w:rsidR="00275B1F" w:rsidRDefault="00275B1F" w:rsidP="00275B1F">
            <w:pPr>
              <w:pStyle w:val="Default"/>
              <w:jc w:val="both"/>
              <w:rPr>
                <w:sz w:val="20"/>
                <w:szCs w:val="20"/>
              </w:rPr>
            </w:pPr>
          </w:p>
          <w:p w:rsidR="00275B1F" w:rsidRDefault="00275B1F" w:rsidP="00275B1F">
            <w:pPr>
              <w:pStyle w:val="Default"/>
              <w:jc w:val="both"/>
              <w:rPr>
                <w:sz w:val="20"/>
                <w:szCs w:val="20"/>
              </w:rPr>
            </w:pPr>
            <w:r w:rsidRPr="00275B1F">
              <w:rPr>
                <w:sz w:val="20"/>
                <w:szCs w:val="20"/>
              </w:rPr>
              <w:t xml:space="preserve">Respecto al patrimonio cultural, fomenta el desarrollo de la política cultural de la Nación, estableciendo los lineamientos para la ejecución de los recursos del Impuesto Nacional al Consumo a la telefonía móvil, internet y navegación móvil, y servicio de datos para el sector de la cultura  por parte del Ministerio de Cultura y los entes territoriales. </w:t>
            </w:r>
          </w:p>
          <w:p w:rsidR="00275B1F" w:rsidRDefault="00275B1F" w:rsidP="00275B1F">
            <w:pPr>
              <w:pStyle w:val="Default"/>
              <w:jc w:val="both"/>
              <w:rPr>
                <w:sz w:val="20"/>
                <w:szCs w:val="20"/>
              </w:rPr>
            </w:pPr>
          </w:p>
          <w:p w:rsidR="0003784A" w:rsidRPr="00005E76" w:rsidRDefault="00275B1F" w:rsidP="00275B1F">
            <w:pPr>
              <w:pStyle w:val="Default"/>
              <w:jc w:val="both"/>
              <w:rPr>
                <w:sz w:val="20"/>
                <w:szCs w:val="20"/>
              </w:rPr>
            </w:pPr>
            <w:r>
              <w:rPr>
                <w:sz w:val="20"/>
                <w:szCs w:val="20"/>
              </w:rPr>
              <w:t>Estos r</w:t>
            </w:r>
            <w:r w:rsidRPr="00275B1F">
              <w:rPr>
                <w:sz w:val="20"/>
                <w:szCs w:val="20"/>
              </w:rPr>
              <w:t xml:space="preserve">ecursos </w:t>
            </w:r>
            <w:r>
              <w:rPr>
                <w:sz w:val="20"/>
                <w:szCs w:val="20"/>
              </w:rPr>
              <w:t>serán</w:t>
            </w:r>
            <w:r w:rsidRPr="00275B1F">
              <w:rPr>
                <w:sz w:val="20"/>
                <w:szCs w:val="20"/>
              </w:rPr>
              <w:t xml:space="preserve"> destinados a la creación, el fomento y el fortalecimiento de las bibliotecas que conforman la Red Nacional de Bibliotecas Públicas; intervención del patrimonio cultural; al fomento, promoci</w:t>
            </w:r>
            <w:r>
              <w:rPr>
                <w:sz w:val="20"/>
                <w:szCs w:val="20"/>
              </w:rPr>
              <w:t>ón y desarrollo de la cultura; m</w:t>
            </w:r>
            <w:r w:rsidRPr="00275B1F">
              <w:rPr>
                <w:sz w:val="20"/>
                <w:szCs w:val="20"/>
              </w:rPr>
              <w:t>anifestaciones declaradas como Patrimonio Cultural Inmaterial de la Humanidad; e implementación de proyectos culturales y artísticos.</w:t>
            </w:r>
          </w:p>
          <w:p w:rsidR="00977F87" w:rsidRPr="00005E76" w:rsidRDefault="00977F87" w:rsidP="00655296">
            <w:pPr>
              <w:pStyle w:val="Prrafodelista"/>
              <w:ind w:left="0"/>
              <w:jc w:val="both"/>
              <w:rPr>
                <w:rFonts w:ascii="Verdana" w:hAnsi="Verdana" w:cs="Arial"/>
                <w:sz w:val="20"/>
                <w:szCs w:val="20"/>
              </w:rPr>
            </w:pPr>
          </w:p>
        </w:tc>
      </w:tr>
      <w:tr w:rsidR="00354FEA" w:rsidRPr="00005E76" w:rsidTr="00B615FD">
        <w:tc>
          <w:tcPr>
            <w:tcW w:w="9962" w:type="dxa"/>
            <w:shd w:val="clear" w:color="auto" w:fill="F2F2F2" w:themeFill="background1" w:themeFillShade="F2"/>
          </w:tcPr>
          <w:p w:rsidR="00354FEA" w:rsidRPr="00005E76" w:rsidRDefault="00354FEA" w:rsidP="002723EB">
            <w:pPr>
              <w:pStyle w:val="Prrafodelista"/>
              <w:numPr>
                <w:ilvl w:val="0"/>
                <w:numId w:val="1"/>
              </w:numPr>
              <w:jc w:val="center"/>
              <w:rPr>
                <w:rFonts w:ascii="Verdana" w:hAnsi="Verdana" w:cs="Arial"/>
                <w:b/>
                <w:sz w:val="20"/>
                <w:szCs w:val="20"/>
              </w:rPr>
            </w:pPr>
            <w:r w:rsidRPr="00005E76">
              <w:rPr>
                <w:rFonts w:ascii="Verdana" w:hAnsi="Verdana" w:cs="Arial"/>
                <w:b/>
                <w:sz w:val="20"/>
                <w:szCs w:val="20"/>
              </w:rPr>
              <w:lastRenderedPageBreak/>
              <w:t>Ámbito de aplicación y sujetos destinatarios</w:t>
            </w:r>
          </w:p>
        </w:tc>
      </w:tr>
      <w:tr w:rsidR="00354FEA" w:rsidRPr="00005E76" w:rsidTr="00B615FD">
        <w:tc>
          <w:tcPr>
            <w:tcW w:w="9962" w:type="dxa"/>
            <w:shd w:val="clear" w:color="auto" w:fill="auto"/>
          </w:tcPr>
          <w:p w:rsidR="00354FEA" w:rsidRPr="00005E76" w:rsidRDefault="00354FEA" w:rsidP="00655296">
            <w:pPr>
              <w:jc w:val="both"/>
              <w:rPr>
                <w:rFonts w:ascii="Verdana" w:hAnsi="Verdana" w:cs="Arial"/>
                <w:sz w:val="20"/>
                <w:szCs w:val="20"/>
              </w:rPr>
            </w:pPr>
            <w:r w:rsidRPr="00005E76">
              <w:rPr>
                <w:rFonts w:ascii="Verdana" w:hAnsi="Verdana" w:cs="Arial"/>
                <w:b/>
                <w:sz w:val="20"/>
                <w:szCs w:val="20"/>
              </w:rPr>
              <w:t>3.1. Ámbito de aplicación</w:t>
            </w:r>
            <w:r w:rsidRPr="00005E76">
              <w:rPr>
                <w:rFonts w:ascii="Verdana" w:hAnsi="Verdana" w:cs="Arial"/>
                <w:sz w:val="20"/>
                <w:szCs w:val="20"/>
              </w:rPr>
              <w:t xml:space="preserve"> </w:t>
            </w:r>
          </w:p>
        </w:tc>
      </w:tr>
      <w:tr w:rsidR="00354FEA" w:rsidRPr="00005E76" w:rsidTr="00B615FD">
        <w:tc>
          <w:tcPr>
            <w:tcW w:w="9962" w:type="dxa"/>
            <w:shd w:val="clear" w:color="auto" w:fill="auto"/>
          </w:tcPr>
          <w:p w:rsidR="0003784A" w:rsidRDefault="0003784A" w:rsidP="0003784A">
            <w:pPr>
              <w:pStyle w:val="Default"/>
              <w:jc w:val="both"/>
              <w:rPr>
                <w:sz w:val="20"/>
                <w:szCs w:val="20"/>
              </w:rPr>
            </w:pPr>
          </w:p>
          <w:p w:rsidR="00746D1E" w:rsidRDefault="00275B1F" w:rsidP="0003784A">
            <w:pPr>
              <w:pStyle w:val="Default"/>
              <w:jc w:val="both"/>
              <w:rPr>
                <w:sz w:val="20"/>
                <w:szCs w:val="20"/>
              </w:rPr>
            </w:pPr>
            <w:r w:rsidRPr="00275B1F">
              <w:rPr>
                <w:sz w:val="20"/>
                <w:szCs w:val="20"/>
              </w:rPr>
              <w:t>El presente Decreto aplica a las entidades del sector nacional y territorial involucradas en el sector cultural, rigiendo en todo el territorio nacional.</w:t>
            </w:r>
          </w:p>
          <w:p w:rsidR="00275B1F" w:rsidRPr="00005E76" w:rsidRDefault="00275B1F" w:rsidP="0003784A">
            <w:pPr>
              <w:pStyle w:val="Default"/>
              <w:jc w:val="both"/>
              <w:rPr>
                <w:sz w:val="20"/>
                <w:szCs w:val="20"/>
              </w:rPr>
            </w:pPr>
          </w:p>
        </w:tc>
      </w:tr>
      <w:tr w:rsidR="00354FEA" w:rsidRPr="00005E76" w:rsidTr="00B615FD">
        <w:tc>
          <w:tcPr>
            <w:tcW w:w="9962" w:type="dxa"/>
            <w:shd w:val="clear" w:color="auto" w:fill="auto"/>
          </w:tcPr>
          <w:p w:rsidR="00354FEA" w:rsidRPr="00005E76" w:rsidRDefault="00354FEA" w:rsidP="00655296">
            <w:pPr>
              <w:jc w:val="both"/>
              <w:rPr>
                <w:rFonts w:ascii="Verdana" w:hAnsi="Verdana" w:cs="Arial"/>
                <w:sz w:val="20"/>
                <w:szCs w:val="20"/>
              </w:rPr>
            </w:pPr>
            <w:r w:rsidRPr="00005E76">
              <w:rPr>
                <w:rFonts w:ascii="Verdana" w:hAnsi="Verdana" w:cs="Arial"/>
                <w:b/>
                <w:sz w:val="20"/>
                <w:szCs w:val="20"/>
              </w:rPr>
              <w:t>3.2. Sujetos Beneficiarios</w:t>
            </w:r>
          </w:p>
        </w:tc>
      </w:tr>
      <w:tr w:rsidR="00354FEA" w:rsidRPr="00005E76" w:rsidTr="00B615FD">
        <w:tc>
          <w:tcPr>
            <w:tcW w:w="9962" w:type="dxa"/>
            <w:shd w:val="clear" w:color="auto" w:fill="auto"/>
          </w:tcPr>
          <w:p w:rsidR="000959FB" w:rsidRPr="00005E76" w:rsidRDefault="000959FB" w:rsidP="0003784A">
            <w:pPr>
              <w:pStyle w:val="Default"/>
              <w:jc w:val="both"/>
              <w:rPr>
                <w:sz w:val="20"/>
                <w:szCs w:val="20"/>
              </w:rPr>
            </w:pPr>
          </w:p>
          <w:p w:rsidR="00746D1E" w:rsidRDefault="00977F87" w:rsidP="00977F87">
            <w:pPr>
              <w:pStyle w:val="Default"/>
              <w:jc w:val="both"/>
              <w:rPr>
                <w:rFonts w:cs="Arial"/>
                <w:sz w:val="20"/>
                <w:szCs w:val="20"/>
              </w:rPr>
            </w:pPr>
            <w:r>
              <w:rPr>
                <w:sz w:val="20"/>
                <w:szCs w:val="20"/>
              </w:rPr>
              <w:t xml:space="preserve">Entidades territoriales </w:t>
            </w:r>
            <w:r w:rsidR="00275B1F">
              <w:rPr>
                <w:sz w:val="20"/>
                <w:szCs w:val="20"/>
              </w:rPr>
              <w:t xml:space="preserve">beneficiarias de los recursos recaudados por concepto del </w:t>
            </w:r>
            <w:r w:rsidR="00275B1F">
              <w:rPr>
                <w:sz w:val="20"/>
                <w:szCs w:val="20"/>
              </w:rPr>
              <w:t>el Impuesto Nacional al C</w:t>
            </w:r>
            <w:r w:rsidR="00275B1F" w:rsidRPr="00B44751">
              <w:rPr>
                <w:sz w:val="20"/>
                <w:szCs w:val="20"/>
              </w:rPr>
              <w:t>onsumo a la prestación de los servicios de telefonía móvil, internet y navegación móvil, y se</w:t>
            </w:r>
            <w:r w:rsidR="00275B1F">
              <w:rPr>
                <w:sz w:val="20"/>
                <w:szCs w:val="20"/>
              </w:rPr>
              <w:t>rvicio de datos</w:t>
            </w:r>
            <w:r w:rsidR="0003784A" w:rsidRPr="00005E76">
              <w:rPr>
                <w:sz w:val="20"/>
                <w:szCs w:val="20"/>
              </w:rPr>
              <w:t xml:space="preserve">. </w:t>
            </w:r>
          </w:p>
          <w:p w:rsidR="00746D1E" w:rsidRPr="00005E76" w:rsidRDefault="00746D1E" w:rsidP="00655296">
            <w:pPr>
              <w:jc w:val="both"/>
              <w:rPr>
                <w:rFonts w:ascii="Verdana" w:hAnsi="Verdana" w:cs="Arial"/>
                <w:sz w:val="20"/>
                <w:szCs w:val="20"/>
              </w:rPr>
            </w:pPr>
          </w:p>
        </w:tc>
      </w:tr>
      <w:tr w:rsidR="00354FEA" w:rsidRPr="00005E76" w:rsidTr="00B615FD">
        <w:tc>
          <w:tcPr>
            <w:tcW w:w="9962" w:type="dxa"/>
            <w:shd w:val="clear" w:color="auto" w:fill="F2F2F2" w:themeFill="background1" w:themeFillShade="F2"/>
          </w:tcPr>
          <w:p w:rsidR="00354FEA" w:rsidRPr="00005E76" w:rsidRDefault="00354FEA" w:rsidP="002723EB">
            <w:pPr>
              <w:numPr>
                <w:ilvl w:val="0"/>
                <w:numId w:val="1"/>
              </w:numPr>
              <w:jc w:val="center"/>
              <w:rPr>
                <w:rFonts w:ascii="Verdana" w:hAnsi="Verdana" w:cs="Arial"/>
                <w:b/>
                <w:sz w:val="20"/>
                <w:szCs w:val="20"/>
              </w:rPr>
            </w:pPr>
            <w:r w:rsidRPr="00005E76">
              <w:rPr>
                <w:rFonts w:ascii="Verdana" w:hAnsi="Verdana" w:cs="Arial"/>
                <w:b/>
                <w:sz w:val="20"/>
                <w:szCs w:val="20"/>
              </w:rPr>
              <w:t>Viabilidad jurídica</w:t>
            </w:r>
          </w:p>
        </w:tc>
      </w:tr>
      <w:tr w:rsidR="002723EB" w:rsidRPr="00005E76" w:rsidTr="00B615FD">
        <w:tc>
          <w:tcPr>
            <w:tcW w:w="9962" w:type="dxa"/>
            <w:shd w:val="clear" w:color="auto" w:fill="auto"/>
          </w:tcPr>
          <w:p w:rsidR="002723EB" w:rsidRPr="002723EB" w:rsidRDefault="002723EB" w:rsidP="002723EB">
            <w:pPr>
              <w:pStyle w:val="Default"/>
              <w:jc w:val="both"/>
              <w:rPr>
                <w:b/>
                <w:sz w:val="20"/>
                <w:szCs w:val="20"/>
              </w:rPr>
            </w:pPr>
            <w:r w:rsidRPr="002723EB">
              <w:rPr>
                <w:b/>
                <w:sz w:val="20"/>
                <w:szCs w:val="20"/>
              </w:rPr>
              <w:t>4.1. Normas que otorgan la competencia para la expedición del Decreto</w:t>
            </w:r>
          </w:p>
        </w:tc>
      </w:tr>
      <w:tr w:rsidR="00354FEA" w:rsidRPr="00005E76" w:rsidTr="00B615FD">
        <w:tc>
          <w:tcPr>
            <w:tcW w:w="9962" w:type="dxa"/>
            <w:shd w:val="clear" w:color="auto" w:fill="auto"/>
          </w:tcPr>
          <w:p w:rsidR="000959FB" w:rsidRDefault="000959FB" w:rsidP="000959FB">
            <w:pPr>
              <w:pStyle w:val="Default"/>
              <w:jc w:val="both"/>
              <w:rPr>
                <w:sz w:val="20"/>
                <w:szCs w:val="20"/>
              </w:rPr>
            </w:pPr>
          </w:p>
          <w:p w:rsidR="000959FB" w:rsidRPr="00005E76" w:rsidRDefault="00B615FD" w:rsidP="000959FB">
            <w:pPr>
              <w:pStyle w:val="Default"/>
              <w:jc w:val="both"/>
              <w:rPr>
                <w:sz w:val="20"/>
                <w:szCs w:val="20"/>
              </w:rPr>
            </w:pPr>
            <w:r>
              <w:rPr>
                <w:sz w:val="20"/>
                <w:szCs w:val="20"/>
              </w:rPr>
              <w:t>1.1 La Constitución Política</w:t>
            </w:r>
          </w:p>
          <w:p w:rsidR="000959FB" w:rsidRPr="00005E76" w:rsidRDefault="000959FB" w:rsidP="000959FB">
            <w:pPr>
              <w:pStyle w:val="Default"/>
              <w:jc w:val="both"/>
              <w:rPr>
                <w:sz w:val="20"/>
                <w:szCs w:val="20"/>
              </w:rPr>
            </w:pPr>
          </w:p>
          <w:p w:rsidR="000959FB" w:rsidRPr="00005E76" w:rsidRDefault="000959FB" w:rsidP="000959FB">
            <w:pPr>
              <w:pStyle w:val="Default"/>
              <w:jc w:val="both"/>
              <w:rPr>
                <w:sz w:val="20"/>
                <w:szCs w:val="20"/>
              </w:rPr>
            </w:pPr>
            <w:r w:rsidRPr="00005E76">
              <w:rPr>
                <w:sz w:val="20"/>
                <w:szCs w:val="20"/>
              </w:rPr>
              <w:t xml:space="preserve">Artículo 189. “Corresponde al Presidente de la República como Jefe de Estado, Jefe del Gobierno y Suprema Autoridad Administrativa: (…) 11. Ejercer la potestad reglamentaria, mediante la expedición de los decretos, resoluciones y órdenes necesarios para la cumplida ejecución de las leyes.” </w:t>
            </w:r>
          </w:p>
          <w:p w:rsidR="000959FB" w:rsidRPr="00005E76" w:rsidRDefault="000959FB" w:rsidP="000959FB">
            <w:pPr>
              <w:pStyle w:val="Default"/>
              <w:jc w:val="both"/>
              <w:rPr>
                <w:sz w:val="20"/>
                <w:szCs w:val="20"/>
              </w:rPr>
            </w:pPr>
          </w:p>
          <w:p w:rsidR="000959FB" w:rsidRPr="00005E76" w:rsidRDefault="000959FB" w:rsidP="000959FB">
            <w:pPr>
              <w:pStyle w:val="Default"/>
              <w:jc w:val="both"/>
              <w:rPr>
                <w:sz w:val="20"/>
                <w:szCs w:val="20"/>
              </w:rPr>
            </w:pPr>
            <w:r w:rsidRPr="00005E76">
              <w:rPr>
                <w:sz w:val="20"/>
                <w:szCs w:val="20"/>
              </w:rPr>
              <w:t xml:space="preserve">La potestad reglamentaria es una facultad constitucional propia del Presidente de la República que lo autoriza para expedir normas de carácter general destinadas a la ejecución y cumplimiento de la ley. Esta potestad se caracteriza por ser una atribución constitucional inalienable, intransferible, inagotable, pues no tiene plazo y puede ejercerse en cualquier tiempo, e irrenunciable, porque es un atributo indispensable para la que la Administración cumpla con su función de ejecutar la ley. </w:t>
            </w:r>
          </w:p>
          <w:p w:rsidR="000959FB" w:rsidRPr="00005E76" w:rsidRDefault="000959FB" w:rsidP="000959FB">
            <w:pPr>
              <w:pStyle w:val="Default"/>
              <w:jc w:val="both"/>
              <w:rPr>
                <w:sz w:val="20"/>
                <w:szCs w:val="20"/>
              </w:rPr>
            </w:pPr>
          </w:p>
          <w:p w:rsidR="000959FB" w:rsidRPr="00005E76" w:rsidRDefault="000959FB" w:rsidP="000959FB">
            <w:pPr>
              <w:pStyle w:val="Default"/>
              <w:jc w:val="both"/>
              <w:rPr>
                <w:sz w:val="20"/>
                <w:szCs w:val="20"/>
              </w:rPr>
            </w:pPr>
            <w:r w:rsidRPr="00005E76">
              <w:rPr>
                <w:sz w:val="20"/>
                <w:szCs w:val="20"/>
              </w:rPr>
              <w:t xml:space="preserve">Esta potestad, a través de la cual se desarrollan las reglas y principios fijados en la ley que permiten su aplicación. Esta facultad en ningún caso puede modificar, ampliar o restringir la ley en cuanto a su contenido o alcance. </w:t>
            </w:r>
          </w:p>
          <w:p w:rsidR="000959FB" w:rsidRPr="00005E76" w:rsidRDefault="000959FB" w:rsidP="000959FB">
            <w:pPr>
              <w:pStyle w:val="Default"/>
              <w:jc w:val="both"/>
              <w:rPr>
                <w:sz w:val="20"/>
                <w:szCs w:val="20"/>
              </w:rPr>
            </w:pPr>
          </w:p>
          <w:p w:rsidR="00275B1F" w:rsidRPr="00275B1F" w:rsidRDefault="000C70B0" w:rsidP="00275B1F">
            <w:pPr>
              <w:pStyle w:val="Default"/>
              <w:jc w:val="both"/>
              <w:rPr>
                <w:sz w:val="20"/>
                <w:szCs w:val="20"/>
              </w:rPr>
            </w:pPr>
            <w:r>
              <w:rPr>
                <w:sz w:val="20"/>
                <w:szCs w:val="20"/>
              </w:rPr>
              <w:t>Artículo 113</w:t>
            </w:r>
            <w:r w:rsidR="00275B1F">
              <w:rPr>
                <w:sz w:val="20"/>
                <w:szCs w:val="20"/>
              </w:rPr>
              <w:t>. “</w:t>
            </w:r>
            <w:r w:rsidR="00275B1F" w:rsidRPr="00275B1F">
              <w:rPr>
                <w:sz w:val="20"/>
                <w:szCs w:val="20"/>
              </w:rPr>
              <w:t>Son Ramas del Poder Público, la legislativa, la ejecutiva, y la judicial.</w:t>
            </w:r>
          </w:p>
          <w:p w:rsidR="00275B1F" w:rsidRPr="00275B1F" w:rsidRDefault="00275B1F" w:rsidP="00275B1F">
            <w:pPr>
              <w:pStyle w:val="Default"/>
              <w:jc w:val="both"/>
              <w:rPr>
                <w:sz w:val="20"/>
                <w:szCs w:val="20"/>
              </w:rPr>
            </w:pPr>
          </w:p>
          <w:p w:rsidR="000959FB" w:rsidRDefault="00275B1F" w:rsidP="00275B1F">
            <w:pPr>
              <w:pStyle w:val="Default"/>
              <w:jc w:val="both"/>
              <w:rPr>
                <w:sz w:val="20"/>
                <w:szCs w:val="20"/>
              </w:rPr>
            </w:pPr>
            <w:r w:rsidRPr="00275B1F">
              <w:rPr>
                <w:sz w:val="20"/>
                <w:szCs w:val="20"/>
              </w:rPr>
              <w:t>Además de los órganos que las integran existen otros, autónomos e independientes, para el cumplimiento de las demás funciones del Estado. Los diferentes órganos del Estado tienen funciones separadas pero colaboran armónicamente para la realización de sus fines</w:t>
            </w:r>
            <w:r>
              <w:rPr>
                <w:sz w:val="20"/>
                <w:szCs w:val="20"/>
              </w:rPr>
              <w:t>”</w:t>
            </w:r>
            <w:r w:rsidRPr="00275B1F">
              <w:rPr>
                <w:sz w:val="20"/>
                <w:szCs w:val="20"/>
              </w:rPr>
              <w:t>.</w:t>
            </w:r>
          </w:p>
          <w:p w:rsidR="000C70B0" w:rsidRDefault="000C70B0" w:rsidP="000C70B0">
            <w:pPr>
              <w:pStyle w:val="Default"/>
              <w:jc w:val="both"/>
              <w:rPr>
                <w:sz w:val="20"/>
                <w:szCs w:val="20"/>
              </w:rPr>
            </w:pPr>
          </w:p>
          <w:p w:rsidR="00275B1F" w:rsidRPr="00275B1F" w:rsidRDefault="000C70B0" w:rsidP="00275B1F">
            <w:pPr>
              <w:pStyle w:val="Default"/>
              <w:jc w:val="both"/>
              <w:rPr>
                <w:sz w:val="20"/>
                <w:szCs w:val="20"/>
              </w:rPr>
            </w:pPr>
            <w:r>
              <w:rPr>
                <w:sz w:val="20"/>
                <w:szCs w:val="20"/>
              </w:rPr>
              <w:t>Art</w:t>
            </w:r>
            <w:r w:rsidR="00275B1F">
              <w:rPr>
                <w:sz w:val="20"/>
                <w:szCs w:val="20"/>
              </w:rPr>
              <w:t>ículo 209. “</w:t>
            </w:r>
            <w:r w:rsidR="00275B1F" w:rsidRPr="00275B1F">
              <w:rPr>
                <w:sz w:val="20"/>
                <w:szCs w:val="20"/>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rsidR="00275B1F" w:rsidRPr="00275B1F" w:rsidRDefault="00275B1F" w:rsidP="00275B1F">
            <w:pPr>
              <w:pStyle w:val="Default"/>
              <w:jc w:val="both"/>
              <w:rPr>
                <w:sz w:val="20"/>
                <w:szCs w:val="20"/>
              </w:rPr>
            </w:pPr>
          </w:p>
          <w:p w:rsidR="000C70B0" w:rsidRDefault="00275B1F" w:rsidP="000C70B0">
            <w:pPr>
              <w:pStyle w:val="Default"/>
              <w:jc w:val="both"/>
              <w:rPr>
                <w:sz w:val="20"/>
                <w:szCs w:val="20"/>
              </w:rPr>
            </w:pPr>
            <w:r w:rsidRPr="00275B1F">
              <w:rPr>
                <w:sz w:val="20"/>
                <w:szCs w:val="20"/>
              </w:rPr>
              <w:t>Las autoridades administrativas deben coordinar sus actuaciones para el adecuado cumplimiento de los fines del Estado. La administración pública, en todos sus órdenes, tendrá un control interno que se ejercerá en los términos que señale la ley</w:t>
            </w:r>
            <w:r>
              <w:rPr>
                <w:sz w:val="20"/>
                <w:szCs w:val="20"/>
              </w:rPr>
              <w:t>”</w:t>
            </w:r>
            <w:r w:rsidRPr="00275B1F">
              <w:rPr>
                <w:sz w:val="20"/>
                <w:szCs w:val="20"/>
              </w:rPr>
              <w:t>.</w:t>
            </w:r>
          </w:p>
          <w:p w:rsidR="00275B1F" w:rsidRPr="00005E76" w:rsidRDefault="00275B1F" w:rsidP="000C70B0">
            <w:pPr>
              <w:pStyle w:val="Default"/>
              <w:jc w:val="both"/>
              <w:rPr>
                <w:sz w:val="20"/>
                <w:szCs w:val="20"/>
              </w:rPr>
            </w:pPr>
          </w:p>
        </w:tc>
      </w:tr>
      <w:tr w:rsidR="002723EB" w:rsidRPr="00005E76" w:rsidTr="00B615FD">
        <w:tc>
          <w:tcPr>
            <w:tcW w:w="9962" w:type="dxa"/>
            <w:shd w:val="clear" w:color="auto" w:fill="auto"/>
          </w:tcPr>
          <w:p w:rsidR="002723EB" w:rsidRPr="00005E76" w:rsidRDefault="002723EB" w:rsidP="002723EB">
            <w:pPr>
              <w:jc w:val="both"/>
              <w:rPr>
                <w:rFonts w:ascii="Verdana" w:hAnsi="Verdana" w:cs="Arial"/>
                <w:b/>
                <w:sz w:val="20"/>
                <w:szCs w:val="20"/>
              </w:rPr>
            </w:pPr>
            <w:r>
              <w:rPr>
                <w:rFonts w:ascii="Verdana" w:hAnsi="Verdana" w:cs="Arial"/>
                <w:b/>
                <w:sz w:val="20"/>
                <w:szCs w:val="20"/>
              </w:rPr>
              <w:lastRenderedPageBreak/>
              <w:t>4.2. Vigencia de la ley o norma reglamentada</w:t>
            </w:r>
          </w:p>
        </w:tc>
      </w:tr>
      <w:tr w:rsidR="002723EB" w:rsidRPr="002723EB" w:rsidTr="00B615FD">
        <w:tc>
          <w:tcPr>
            <w:tcW w:w="9962" w:type="dxa"/>
            <w:shd w:val="clear" w:color="auto" w:fill="auto"/>
          </w:tcPr>
          <w:p w:rsidR="00B615FD" w:rsidRDefault="00B615FD" w:rsidP="00B615FD">
            <w:pPr>
              <w:jc w:val="both"/>
              <w:rPr>
                <w:rFonts w:ascii="Verdana" w:hAnsi="Verdana" w:cs="Arial"/>
                <w:sz w:val="20"/>
                <w:szCs w:val="20"/>
              </w:rPr>
            </w:pPr>
          </w:p>
          <w:p w:rsidR="002723EB" w:rsidRDefault="000C70B0" w:rsidP="00B615FD">
            <w:pPr>
              <w:jc w:val="both"/>
              <w:rPr>
                <w:rFonts w:ascii="Verdana" w:hAnsi="Verdana" w:cs="Arial"/>
                <w:sz w:val="20"/>
                <w:szCs w:val="20"/>
              </w:rPr>
            </w:pPr>
            <w:r>
              <w:rPr>
                <w:rFonts w:ascii="Verdana" w:hAnsi="Verdana" w:cs="Arial"/>
                <w:sz w:val="20"/>
                <w:szCs w:val="20"/>
              </w:rPr>
              <w:t xml:space="preserve">Los artículos 200 y 201 de la </w:t>
            </w:r>
            <w:r w:rsidRPr="000C70B0">
              <w:rPr>
                <w:rFonts w:ascii="Verdana" w:hAnsi="Verdana" w:cs="Arial"/>
                <w:sz w:val="20"/>
                <w:szCs w:val="20"/>
              </w:rPr>
              <w:t>Ley 1819 de 2016</w:t>
            </w:r>
            <w:r w:rsidR="00B615FD">
              <w:rPr>
                <w:rFonts w:ascii="Verdana" w:hAnsi="Verdana" w:cs="Arial"/>
                <w:sz w:val="20"/>
                <w:szCs w:val="20"/>
              </w:rPr>
              <w:t xml:space="preserve"> se encuentra</w:t>
            </w:r>
            <w:r>
              <w:rPr>
                <w:rFonts w:ascii="Verdana" w:hAnsi="Verdana" w:cs="Arial"/>
                <w:sz w:val="20"/>
                <w:szCs w:val="20"/>
              </w:rPr>
              <w:t>n</w:t>
            </w:r>
            <w:r w:rsidR="00B615FD">
              <w:rPr>
                <w:rFonts w:ascii="Verdana" w:hAnsi="Verdana" w:cs="Arial"/>
                <w:sz w:val="20"/>
                <w:szCs w:val="20"/>
              </w:rPr>
              <w:t xml:space="preserve"> vigente</w:t>
            </w:r>
            <w:r>
              <w:rPr>
                <w:rFonts w:ascii="Verdana" w:hAnsi="Verdana" w:cs="Arial"/>
                <w:sz w:val="20"/>
                <w:szCs w:val="20"/>
              </w:rPr>
              <w:t>s</w:t>
            </w:r>
            <w:r w:rsidR="00B615FD">
              <w:rPr>
                <w:rFonts w:ascii="Verdana" w:hAnsi="Verdana" w:cs="Arial"/>
                <w:sz w:val="20"/>
                <w:szCs w:val="20"/>
              </w:rPr>
              <w:t xml:space="preserve">, así como el </w:t>
            </w:r>
            <w:r w:rsidR="00B615FD" w:rsidRPr="00B615FD">
              <w:rPr>
                <w:rFonts w:ascii="Verdana" w:hAnsi="Verdana" w:cs="Arial"/>
                <w:sz w:val="20"/>
                <w:szCs w:val="20"/>
              </w:rPr>
              <w:t>Decreto 1080 de 2015</w:t>
            </w:r>
            <w:r w:rsidR="00B615FD">
              <w:rPr>
                <w:rFonts w:ascii="Verdana" w:hAnsi="Verdana" w:cs="Arial"/>
                <w:sz w:val="20"/>
                <w:szCs w:val="20"/>
              </w:rPr>
              <w:t xml:space="preserve"> que se adiciona mediante la expedición del presente Decreto.</w:t>
            </w:r>
          </w:p>
          <w:p w:rsidR="00B615FD" w:rsidRPr="002723EB" w:rsidRDefault="00B615FD" w:rsidP="00B615FD">
            <w:pPr>
              <w:jc w:val="both"/>
              <w:rPr>
                <w:rFonts w:ascii="Verdana" w:hAnsi="Verdana" w:cs="Arial"/>
                <w:sz w:val="20"/>
                <w:szCs w:val="20"/>
              </w:rPr>
            </w:pPr>
          </w:p>
        </w:tc>
      </w:tr>
      <w:tr w:rsidR="00B615FD" w:rsidRPr="00005E76" w:rsidTr="00B615FD">
        <w:tc>
          <w:tcPr>
            <w:tcW w:w="9962" w:type="dxa"/>
            <w:shd w:val="clear" w:color="auto" w:fill="auto"/>
          </w:tcPr>
          <w:p w:rsidR="00B615FD" w:rsidRPr="00005E76" w:rsidRDefault="00B615FD" w:rsidP="00B615FD">
            <w:pPr>
              <w:jc w:val="both"/>
              <w:rPr>
                <w:rFonts w:ascii="Verdana" w:hAnsi="Verdana" w:cs="Arial"/>
                <w:b/>
                <w:sz w:val="20"/>
                <w:szCs w:val="20"/>
              </w:rPr>
            </w:pPr>
            <w:r>
              <w:rPr>
                <w:rFonts w:ascii="Verdana" w:hAnsi="Verdana" w:cs="Arial"/>
                <w:b/>
                <w:sz w:val="20"/>
                <w:szCs w:val="20"/>
              </w:rPr>
              <w:t>4.3. Dis</w:t>
            </w:r>
            <w:r w:rsidRPr="00B615FD">
              <w:rPr>
                <w:rFonts w:ascii="Verdana" w:hAnsi="Verdana" w:cs="Arial"/>
                <w:b/>
                <w:sz w:val="20"/>
                <w:szCs w:val="20"/>
              </w:rPr>
              <w:t>posiciones derogadas, subrogadas, modificadas, adicionadas o sustituidas</w:t>
            </w:r>
          </w:p>
        </w:tc>
      </w:tr>
      <w:tr w:rsidR="00B615FD" w:rsidRPr="00005E76" w:rsidTr="00B615FD">
        <w:tc>
          <w:tcPr>
            <w:tcW w:w="9962" w:type="dxa"/>
            <w:shd w:val="clear" w:color="auto" w:fill="auto"/>
          </w:tcPr>
          <w:p w:rsidR="00B615FD" w:rsidRDefault="00B615FD" w:rsidP="00B615FD">
            <w:pPr>
              <w:jc w:val="both"/>
              <w:rPr>
                <w:rFonts w:ascii="Verdana" w:hAnsi="Verdana" w:cs="Arial"/>
                <w:b/>
                <w:sz w:val="20"/>
                <w:szCs w:val="20"/>
              </w:rPr>
            </w:pPr>
          </w:p>
          <w:p w:rsidR="00B615FD" w:rsidRDefault="00B615FD" w:rsidP="00B615FD">
            <w:pPr>
              <w:jc w:val="both"/>
              <w:rPr>
                <w:rFonts w:ascii="Verdana" w:hAnsi="Verdana" w:cs="Arial"/>
                <w:sz w:val="20"/>
                <w:szCs w:val="20"/>
              </w:rPr>
            </w:pPr>
            <w:r w:rsidRPr="00B615FD">
              <w:rPr>
                <w:rFonts w:ascii="Verdana" w:hAnsi="Verdana" w:cs="Arial"/>
                <w:sz w:val="20"/>
                <w:szCs w:val="20"/>
              </w:rPr>
              <w:t xml:space="preserve">El Decreto no modifica ni deroga norma alguna vigente de carácter </w:t>
            </w:r>
            <w:r>
              <w:rPr>
                <w:rFonts w:ascii="Verdana" w:hAnsi="Verdana" w:cs="Arial"/>
                <w:sz w:val="20"/>
                <w:szCs w:val="20"/>
              </w:rPr>
              <w:t>reglamentario.</w:t>
            </w:r>
          </w:p>
          <w:p w:rsidR="00B615FD" w:rsidRPr="00B615FD" w:rsidRDefault="00B615FD" w:rsidP="00B615FD">
            <w:pPr>
              <w:jc w:val="both"/>
              <w:rPr>
                <w:rFonts w:ascii="Verdana" w:hAnsi="Verdana" w:cs="Arial"/>
                <w:sz w:val="20"/>
                <w:szCs w:val="20"/>
              </w:rPr>
            </w:pPr>
          </w:p>
        </w:tc>
      </w:tr>
      <w:tr w:rsidR="00B615FD" w:rsidRPr="00005E76" w:rsidTr="00B615FD">
        <w:tc>
          <w:tcPr>
            <w:tcW w:w="9962" w:type="dxa"/>
            <w:shd w:val="clear" w:color="auto" w:fill="auto"/>
          </w:tcPr>
          <w:p w:rsidR="00B615FD" w:rsidRPr="00005E76" w:rsidRDefault="00B615FD" w:rsidP="00B615FD">
            <w:pPr>
              <w:jc w:val="both"/>
              <w:rPr>
                <w:rFonts w:ascii="Verdana" w:hAnsi="Verdana" w:cs="Arial"/>
                <w:b/>
                <w:sz w:val="20"/>
                <w:szCs w:val="20"/>
              </w:rPr>
            </w:pPr>
            <w:r>
              <w:rPr>
                <w:rFonts w:ascii="Verdana" w:hAnsi="Verdana" w:cs="Arial"/>
                <w:b/>
                <w:sz w:val="20"/>
                <w:szCs w:val="20"/>
              </w:rPr>
              <w:t>4.4. D</w:t>
            </w:r>
            <w:r w:rsidRPr="00B615FD">
              <w:rPr>
                <w:rFonts w:ascii="Verdana" w:hAnsi="Verdana" w:cs="Arial"/>
                <w:b/>
                <w:sz w:val="20"/>
                <w:szCs w:val="20"/>
              </w:rPr>
              <w:t>ecisiones judiciales de los órganos de cierre de cada</w:t>
            </w:r>
            <w:r>
              <w:rPr>
                <w:rFonts w:ascii="Verdana" w:hAnsi="Verdana" w:cs="Arial"/>
                <w:b/>
                <w:sz w:val="20"/>
                <w:szCs w:val="20"/>
              </w:rPr>
              <w:t xml:space="preserve"> </w:t>
            </w:r>
            <w:r w:rsidRPr="00B615FD">
              <w:rPr>
                <w:rFonts w:ascii="Verdana" w:hAnsi="Verdana" w:cs="Arial"/>
                <w:b/>
                <w:sz w:val="20"/>
                <w:szCs w:val="20"/>
              </w:rPr>
              <w:t>jurisdicción que pudieran tener impacto o ser relevantes para la expedición del acto</w:t>
            </w:r>
          </w:p>
        </w:tc>
      </w:tr>
      <w:tr w:rsidR="00B615FD" w:rsidRPr="00005E76" w:rsidTr="00B615FD">
        <w:tc>
          <w:tcPr>
            <w:tcW w:w="9962" w:type="dxa"/>
            <w:shd w:val="clear" w:color="auto" w:fill="auto"/>
          </w:tcPr>
          <w:p w:rsidR="00B615FD" w:rsidRDefault="00B615FD" w:rsidP="00B615FD">
            <w:pPr>
              <w:jc w:val="both"/>
              <w:rPr>
                <w:rFonts w:ascii="Verdana" w:hAnsi="Verdana" w:cs="Arial"/>
                <w:b/>
                <w:sz w:val="20"/>
                <w:szCs w:val="20"/>
              </w:rPr>
            </w:pPr>
          </w:p>
          <w:p w:rsidR="00746D1E" w:rsidRDefault="00B615FD" w:rsidP="00B615FD">
            <w:pPr>
              <w:jc w:val="both"/>
              <w:rPr>
                <w:rFonts w:ascii="Verdana" w:hAnsi="Verdana" w:cs="Arial"/>
                <w:b/>
                <w:sz w:val="20"/>
                <w:szCs w:val="20"/>
              </w:rPr>
            </w:pPr>
            <w:r w:rsidRPr="00B615FD">
              <w:rPr>
                <w:rFonts w:ascii="Verdana" w:hAnsi="Verdana" w:cs="Arial"/>
                <w:sz w:val="20"/>
                <w:szCs w:val="20"/>
              </w:rPr>
              <w:t>No hay pronunciamientos de órganos de cierre que pudieran tener impacto o ser relevantes para la expedición del acto.</w:t>
            </w:r>
          </w:p>
          <w:p w:rsidR="00746D1E" w:rsidRPr="00005E76" w:rsidRDefault="00746D1E" w:rsidP="00B615FD">
            <w:pPr>
              <w:jc w:val="both"/>
              <w:rPr>
                <w:rFonts w:ascii="Verdana" w:hAnsi="Verdana" w:cs="Arial"/>
                <w:b/>
                <w:sz w:val="20"/>
                <w:szCs w:val="20"/>
              </w:rPr>
            </w:pPr>
          </w:p>
        </w:tc>
      </w:tr>
      <w:tr w:rsidR="00B615FD" w:rsidRPr="00005E76" w:rsidTr="00B615FD">
        <w:tc>
          <w:tcPr>
            <w:tcW w:w="9962" w:type="dxa"/>
            <w:shd w:val="clear" w:color="auto" w:fill="F2F2F2" w:themeFill="background1" w:themeFillShade="F2"/>
          </w:tcPr>
          <w:p w:rsidR="00B615FD" w:rsidRPr="00005E76" w:rsidRDefault="00B615FD" w:rsidP="00B615FD">
            <w:pPr>
              <w:numPr>
                <w:ilvl w:val="0"/>
                <w:numId w:val="1"/>
              </w:numPr>
              <w:jc w:val="center"/>
              <w:rPr>
                <w:rFonts w:ascii="Verdana" w:hAnsi="Verdana" w:cs="Arial"/>
                <w:sz w:val="20"/>
                <w:szCs w:val="20"/>
              </w:rPr>
            </w:pPr>
            <w:r w:rsidRPr="00005E76">
              <w:rPr>
                <w:rFonts w:ascii="Verdana" w:hAnsi="Verdana" w:cs="Arial"/>
                <w:b/>
                <w:sz w:val="20"/>
                <w:szCs w:val="20"/>
              </w:rPr>
              <w:t>Consulta previa y publicidad</w:t>
            </w:r>
          </w:p>
        </w:tc>
      </w:tr>
      <w:tr w:rsidR="00B615FD" w:rsidRPr="00005E76" w:rsidTr="00B615FD">
        <w:tc>
          <w:tcPr>
            <w:tcW w:w="9962" w:type="dxa"/>
            <w:shd w:val="clear" w:color="auto" w:fill="auto"/>
          </w:tcPr>
          <w:p w:rsidR="00B615FD" w:rsidRPr="00005E76" w:rsidRDefault="00B615FD" w:rsidP="00B615FD">
            <w:pPr>
              <w:jc w:val="both"/>
              <w:rPr>
                <w:rFonts w:ascii="Verdana" w:hAnsi="Verdana" w:cs="Arial"/>
                <w:sz w:val="20"/>
                <w:szCs w:val="20"/>
              </w:rPr>
            </w:pPr>
            <w:r w:rsidRPr="00005E76">
              <w:rPr>
                <w:rFonts w:ascii="Verdana" w:hAnsi="Verdana" w:cs="Arial"/>
                <w:b/>
                <w:sz w:val="20"/>
                <w:szCs w:val="20"/>
              </w:rPr>
              <w:t>5.1. Consulta Previa</w:t>
            </w:r>
          </w:p>
        </w:tc>
      </w:tr>
      <w:tr w:rsidR="00B615FD" w:rsidRPr="00005E76" w:rsidTr="00B615FD">
        <w:tc>
          <w:tcPr>
            <w:tcW w:w="9962" w:type="dxa"/>
            <w:shd w:val="clear" w:color="auto" w:fill="auto"/>
          </w:tcPr>
          <w:p w:rsidR="00B615FD" w:rsidRPr="00005E76" w:rsidRDefault="00B615FD" w:rsidP="00B615FD">
            <w:pPr>
              <w:jc w:val="both"/>
              <w:rPr>
                <w:rFonts w:ascii="Verdana" w:eastAsiaTheme="minorHAnsi" w:hAnsi="Verdana" w:cs="Verdana"/>
                <w:color w:val="000000"/>
                <w:sz w:val="20"/>
                <w:szCs w:val="20"/>
                <w:lang w:eastAsia="en-US"/>
              </w:rPr>
            </w:pPr>
          </w:p>
          <w:p w:rsidR="00B615FD" w:rsidRPr="00005E76" w:rsidRDefault="00B615FD" w:rsidP="00B615FD">
            <w:pPr>
              <w:jc w:val="both"/>
              <w:rPr>
                <w:rFonts w:ascii="Verdana" w:eastAsiaTheme="minorHAnsi" w:hAnsi="Verdana" w:cs="Verdana"/>
                <w:color w:val="000000"/>
                <w:sz w:val="20"/>
                <w:szCs w:val="20"/>
                <w:lang w:eastAsia="en-US"/>
              </w:rPr>
            </w:pPr>
            <w:r w:rsidRPr="00005E76">
              <w:rPr>
                <w:rFonts w:ascii="Verdana" w:eastAsiaTheme="minorHAnsi" w:hAnsi="Verdana" w:cs="Verdana"/>
                <w:color w:val="000000"/>
                <w:sz w:val="20"/>
                <w:szCs w:val="20"/>
                <w:lang w:eastAsia="en-US"/>
              </w:rPr>
              <w:t xml:space="preserve">El proyecto de Decreto no es una decisión administrativa sujeta a las condiciones de la Ley 21 de 1991 en materia de consulta previa. </w:t>
            </w:r>
          </w:p>
          <w:p w:rsidR="00B615FD" w:rsidRPr="00005E76" w:rsidRDefault="00B615FD" w:rsidP="00B615FD">
            <w:pPr>
              <w:jc w:val="both"/>
              <w:rPr>
                <w:rFonts w:ascii="Verdana" w:hAnsi="Verdana" w:cs="Arial"/>
                <w:sz w:val="20"/>
                <w:szCs w:val="20"/>
              </w:rPr>
            </w:pPr>
          </w:p>
        </w:tc>
      </w:tr>
      <w:tr w:rsidR="00B615FD" w:rsidRPr="00005E76" w:rsidTr="00B615FD">
        <w:tc>
          <w:tcPr>
            <w:tcW w:w="9962" w:type="dxa"/>
            <w:shd w:val="clear" w:color="auto" w:fill="auto"/>
          </w:tcPr>
          <w:p w:rsidR="00B615FD" w:rsidRPr="00005E76" w:rsidRDefault="00B615FD" w:rsidP="00B615FD">
            <w:pPr>
              <w:jc w:val="both"/>
              <w:rPr>
                <w:rFonts w:ascii="Verdana" w:hAnsi="Verdana" w:cs="Arial"/>
                <w:sz w:val="20"/>
                <w:szCs w:val="20"/>
              </w:rPr>
            </w:pPr>
            <w:r w:rsidRPr="00005E76">
              <w:rPr>
                <w:rFonts w:ascii="Verdana" w:hAnsi="Verdana" w:cs="Arial"/>
                <w:b/>
                <w:sz w:val="20"/>
                <w:szCs w:val="20"/>
              </w:rPr>
              <w:t>5.2. Publicidad</w:t>
            </w:r>
          </w:p>
        </w:tc>
      </w:tr>
      <w:tr w:rsidR="00B615FD" w:rsidRPr="00005E76" w:rsidTr="00B615FD">
        <w:tc>
          <w:tcPr>
            <w:tcW w:w="9962" w:type="dxa"/>
            <w:shd w:val="clear" w:color="auto" w:fill="auto"/>
          </w:tcPr>
          <w:p w:rsidR="00B615FD" w:rsidRPr="00005E76" w:rsidRDefault="00B615FD" w:rsidP="00B615FD">
            <w:pPr>
              <w:pStyle w:val="Default"/>
              <w:jc w:val="both"/>
              <w:rPr>
                <w:sz w:val="20"/>
                <w:szCs w:val="20"/>
              </w:rPr>
            </w:pPr>
          </w:p>
          <w:p w:rsidR="00B615FD" w:rsidRDefault="00B615FD" w:rsidP="00B615FD">
            <w:pPr>
              <w:jc w:val="both"/>
              <w:rPr>
                <w:rFonts w:ascii="Verdana" w:eastAsiaTheme="minorHAnsi" w:hAnsi="Verdana" w:cs="Verdana"/>
                <w:color w:val="000000"/>
                <w:sz w:val="20"/>
                <w:szCs w:val="20"/>
                <w:lang w:eastAsia="en-US"/>
              </w:rPr>
            </w:pPr>
            <w:r w:rsidRPr="00005E76">
              <w:rPr>
                <w:rFonts w:ascii="Verdana" w:eastAsiaTheme="minorHAnsi" w:hAnsi="Verdana" w:cs="Verdana"/>
                <w:color w:val="000000"/>
                <w:sz w:val="20"/>
                <w:szCs w:val="20"/>
                <w:lang w:eastAsia="en-US"/>
              </w:rPr>
              <w:t>Se anexa constancia de publicación</w:t>
            </w:r>
            <w:r w:rsidR="006F7417">
              <w:rPr>
                <w:rFonts w:ascii="Verdana" w:eastAsiaTheme="minorHAnsi" w:hAnsi="Verdana" w:cs="Verdana"/>
                <w:color w:val="000000"/>
                <w:sz w:val="20"/>
                <w:szCs w:val="20"/>
                <w:lang w:eastAsia="en-US"/>
              </w:rPr>
              <w:t xml:space="preserve"> del proyecto de Decreto en la página web del Ministerio de Cultura</w:t>
            </w:r>
            <w:r w:rsidRPr="00005E76">
              <w:rPr>
                <w:rFonts w:ascii="Verdana" w:eastAsiaTheme="minorHAnsi" w:hAnsi="Verdana" w:cs="Verdana"/>
                <w:color w:val="000000"/>
                <w:sz w:val="20"/>
                <w:szCs w:val="20"/>
                <w:lang w:eastAsia="en-US"/>
              </w:rPr>
              <w:t xml:space="preserve">. </w:t>
            </w:r>
          </w:p>
          <w:p w:rsidR="00B615FD" w:rsidRPr="00005E76" w:rsidRDefault="00B615FD" w:rsidP="006F7417">
            <w:pPr>
              <w:jc w:val="both"/>
              <w:rPr>
                <w:rFonts w:ascii="Verdana" w:hAnsi="Verdana" w:cs="Arial"/>
                <w:sz w:val="20"/>
                <w:szCs w:val="20"/>
              </w:rPr>
            </w:pPr>
          </w:p>
        </w:tc>
      </w:tr>
      <w:tr w:rsidR="006F7417" w:rsidRPr="00005E76" w:rsidTr="006F7417">
        <w:tc>
          <w:tcPr>
            <w:tcW w:w="9962" w:type="dxa"/>
            <w:shd w:val="clear" w:color="auto" w:fill="auto"/>
          </w:tcPr>
          <w:p w:rsidR="006F7417" w:rsidRPr="00005E76" w:rsidRDefault="006F7417" w:rsidP="006F7417">
            <w:pPr>
              <w:jc w:val="both"/>
              <w:rPr>
                <w:rFonts w:ascii="Verdana" w:hAnsi="Verdana" w:cs="Arial"/>
                <w:b/>
                <w:sz w:val="20"/>
                <w:szCs w:val="20"/>
              </w:rPr>
            </w:pPr>
            <w:r>
              <w:rPr>
                <w:rFonts w:ascii="Verdana" w:hAnsi="Verdana" w:cs="Arial"/>
                <w:b/>
                <w:sz w:val="20"/>
                <w:szCs w:val="20"/>
              </w:rPr>
              <w:t>5.2.1. M</w:t>
            </w:r>
            <w:r w:rsidRPr="006F7417">
              <w:rPr>
                <w:rFonts w:ascii="Verdana" w:hAnsi="Verdana" w:cs="Arial"/>
                <w:b/>
                <w:sz w:val="20"/>
                <w:szCs w:val="20"/>
              </w:rPr>
              <w:t>atriz con el resumen de las observaciones y comentarios de los</w:t>
            </w:r>
            <w:r>
              <w:rPr>
                <w:rFonts w:ascii="Verdana" w:hAnsi="Verdana" w:cs="Arial"/>
                <w:b/>
                <w:sz w:val="20"/>
                <w:szCs w:val="20"/>
              </w:rPr>
              <w:t xml:space="preserve"> </w:t>
            </w:r>
            <w:r w:rsidRPr="006F7417">
              <w:rPr>
                <w:rFonts w:ascii="Verdana" w:hAnsi="Verdana" w:cs="Arial"/>
                <w:b/>
                <w:sz w:val="20"/>
                <w:szCs w:val="20"/>
              </w:rPr>
              <w:t>ciudadanos y grupos de interés al proyecto específico de regulación</w:t>
            </w:r>
          </w:p>
        </w:tc>
      </w:tr>
      <w:tr w:rsidR="006F7417" w:rsidRPr="00005E76" w:rsidTr="006F7417">
        <w:tc>
          <w:tcPr>
            <w:tcW w:w="9962" w:type="dxa"/>
            <w:shd w:val="clear" w:color="auto" w:fill="auto"/>
          </w:tcPr>
          <w:p w:rsidR="006F7417" w:rsidRDefault="006F7417" w:rsidP="006F7417">
            <w:pPr>
              <w:jc w:val="both"/>
              <w:rPr>
                <w:rFonts w:ascii="Verdana" w:eastAsiaTheme="minorHAnsi" w:hAnsi="Verdana" w:cs="Verdana"/>
                <w:color w:val="000000"/>
                <w:sz w:val="20"/>
                <w:szCs w:val="20"/>
                <w:lang w:eastAsia="en-US"/>
              </w:rPr>
            </w:pPr>
          </w:p>
          <w:p w:rsidR="006F7417" w:rsidRPr="00005E76" w:rsidRDefault="006F7417" w:rsidP="006F7417">
            <w:pPr>
              <w:jc w:val="both"/>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 xml:space="preserve">Teniendo en cuenta que </w:t>
            </w:r>
            <w:r w:rsidR="00335743">
              <w:rPr>
                <w:rFonts w:ascii="Verdana" w:eastAsiaTheme="minorHAnsi" w:hAnsi="Verdana" w:cs="Verdana"/>
                <w:color w:val="000000"/>
                <w:sz w:val="20"/>
                <w:szCs w:val="20"/>
                <w:lang w:eastAsia="en-US"/>
              </w:rPr>
              <w:t xml:space="preserve">se está surtiendo </w:t>
            </w:r>
            <w:r>
              <w:rPr>
                <w:rFonts w:ascii="Verdana" w:eastAsiaTheme="minorHAnsi" w:hAnsi="Verdana" w:cs="Verdana"/>
                <w:color w:val="000000"/>
                <w:sz w:val="20"/>
                <w:szCs w:val="20"/>
                <w:lang w:eastAsia="en-US"/>
              </w:rPr>
              <w:t xml:space="preserve">el periodo de publicación, no se presenta la matriz con el resumen de </w:t>
            </w:r>
            <w:r w:rsidR="00335743">
              <w:rPr>
                <w:rFonts w:ascii="Verdana" w:eastAsiaTheme="minorHAnsi" w:hAnsi="Verdana" w:cs="Verdana"/>
                <w:color w:val="000000"/>
                <w:sz w:val="20"/>
                <w:szCs w:val="20"/>
                <w:lang w:eastAsia="en-US"/>
              </w:rPr>
              <w:t>los comentarios u observaciones</w:t>
            </w:r>
            <w:r>
              <w:rPr>
                <w:rFonts w:ascii="Verdana" w:eastAsiaTheme="minorHAnsi" w:hAnsi="Verdana" w:cs="Verdana"/>
                <w:color w:val="000000"/>
                <w:sz w:val="20"/>
                <w:szCs w:val="20"/>
                <w:lang w:eastAsia="en-US"/>
              </w:rPr>
              <w:t>.</w:t>
            </w:r>
          </w:p>
          <w:p w:rsidR="006F7417" w:rsidRPr="00005E76" w:rsidRDefault="006F7417" w:rsidP="006F7417">
            <w:pPr>
              <w:ind w:left="360"/>
              <w:jc w:val="both"/>
              <w:rPr>
                <w:rFonts w:ascii="Verdana" w:hAnsi="Verdana" w:cs="Arial"/>
                <w:b/>
                <w:sz w:val="20"/>
                <w:szCs w:val="20"/>
              </w:rPr>
            </w:pPr>
          </w:p>
        </w:tc>
      </w:tr>
      <w:tr w:rsidR="006F7417" w:rsidRPr="00005E76" w:rsidTr="006F7417">
        <w:tc>
          <w:tcPr>
            <w:tcW w:w="9962" w:type="dxa"/>
            <w:shd w:val="clear" w:color="auto" w:fill="auto"/>
          </w:tcPr>
          <w:p w:rsidR="006F7417" w:rsidRPr="00005E76" w:rsidRDefault="006F7417" w:rsidP="006F7417">
            <w:pPr>
              <w:jc w:val="both"/>
              <w:rPr>
                <w:rFonts w:ascii="Verdana" w:hAnsi="Verdana" w:cs="Arial"/>
                <w:b/>
                <w:sz w:val="20"/>
                <w:szCs w:val="20"/>
              </w:rPr>
            </w:pPr>
            <w:r>
              <w:rPr>
                <w:rFonts w:ascii="Verdana" w:hAnsi="Verdana" w:cs="Arial"/>
                <w:b/>
                <w:sz w:val="20"/>
                <w:szCs w:val="20"/>
              </w:rPr>
              <w:t xml:space="preserve">5.2.2. </w:t>
            </w:r>
            <w:r w:rsidRPr="006F7417">
              <w:rPr>
                <w:rFonts w:ascii="Verdana" w:hAnsi="Verdana" w:cs="Arial"/>
                <w:b/>
                <w:sz w:val="20"/>
                <w:szCs w:val="20"/>
              </w:rPr>
              <w:t>Informe Global con la evaluación, por categorías, de las observaciones y</w:t>
            </w:r>
            <w:r>
              <w:rPr>
                <w:rFonts w:ascii="Verdana" w:hAnsi="Verdana" w:cs="Arial"/>
                <w:b/>
                <w:sz w:val="20"/>
                <w:szCs w:val="20"/>
              </w:rPr>
              <w:t xml:space="preserve"> </w:t>
            </w:r>
            <w:r w:rsidRPr="006F7417">
              <w:rPr>
                <w:rFonts w:ascii="Verdana" w:hAnsi="Verdana" w:cs="Arial"/>
                <w:b/>
                <w:sz w:val="20"/>
                <w:szCs w:val="20"/>
              </w:rPr>
              <w:t>comentarios de los ciudadanos y grupos de interés</w:t>
            </w:r>
          </w:p>
        </w:tc>
      </w:tr>
      <w:tr w:rsidR="006F7417" w:rsidRPr="00005E76" w:rsidTr="006F7417">
        <w:tc>
          <w:tcPr>
            <w:tcW w:w="9962" w:type="dxa"/>
            <w:shd w:val="clear" w:color="auto" w:fill="auto"/>
          </w:tcPr>
          <w:p w:rsidR="006F7417" w:rsidRDefault="006F7417" w:rsidP="006F7417">
            <w:pPr>
              <w:jc w:val="both"/>
              <w:rPr>
                <w:rFonts w:ascii="Verdana" w:eastAsiaTheme="minorHAnsi" w:hAnsi="Verdana" w:cs="Verdana"/>
                <w:color w:val="000000"/>
                <w:sz w:val="20"/>
                <w:szCs w:val="20"/>
                <w:lang w:eastAsia="en-US"/>
              </w:rPr>
            </w:pPr>
          </w:p>
          <w:p w:rsidR="006F7417" w:rsidRDefault="00335743" w:rsidP="00335743">
            <w:pPr>
              <w:jc w:val="both"/>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 xml:space="preserve">Teniendo en cuenta que se está surtiendo el periodo de publicación, no se presenta </w:t>
            </w:r>
            <w:r>
              <w:rPr>
                <w:rFonts w:ascii="Verdana" w:eastAsiaTheme="minorHAnsi" w:hAnsi="Verdana" w:cs="Verdana"/>
                <w:color w:val="000000"/>
                <w:sz w:val="20"/>
                <w:szCs w:val="20"/>
                <w:lang w:eastAsia="en-US"/>
              </w:rPr>
              <w:t>el informe global de evaluación</w:t>
            </w:r>
            <w:r>
              <w:rPr>
                <w:rFonts w:ascii="Verdana" w:eastAsiaTheme="minorHAnsi" w:hAnsi="Verdana" w:cs="Verdana"/>
                <w:color w:val="000000"/>
                <w:sz w:val="20"/>
                <w:szCs w:val="20"/>
                <w:lang w:eastAsia="en-US"/>
              </w:rPr>
              <w:t xml:space="preserve"> con el resumen de los comentarios u observaciones.</w:t>
            </w:r>
          </w:p>
          <w:p w:rsidR="00335743" w:rsidRPr="00335743" w:rsidRDefault="00335743" w:rsidP="00335743">
            <w:pPr>
              <w:jc w:val="both"/>
              <w:rPr>
                <w:rFonts w:ascii="Verdana" w:eastAsiaTheme="minorHAnsi" w:hAnsi="Verdana" w:cs="Verdana"/>
                <w:color w:val="000000"/>
                <w:sz w:val="20"/>
                <w:szCs w:val="20"/>
                <w:lang w:eastAsia="en-US"/>
              </w:rPr>
            </w:pPr>
          </w:p>
        </w:tc>
      </w:tr>
      <w:tr w:rsidR="00B615FD" w:rsidRPr="00005E76" w:rsidTr="00B615FD">
        <w:tc>
          <w:tcPr>
            <w:tcW w:w="9962" w:type="dxa"/>
            <w:shd w:val="clear" w:color="auto" w:fill="F2F2F2" w:themeFill="background1" w:themeFillShade="F2"/>
          </w:tcPr>
          <w:p w:rsidR="00B615FD" w:rsidRPr="00005E76" w:rsidRDefault="00B615FD" w:rsidP="00B615FD">
            <w:pPr>
              <w:numPr>
                <w:ilvl w:val="0"/>
                <w:numId w:val="1"/>
              </w:numPr>
              <w:jc w:val="center"/>
              <w:rPr>
                <w:rFonts w:ascii="Verdana" w:hAnsi="Verdana" w:cs="Arial"/>
                <w:b/>
                <w:sz w:val="20"/>
                <w:szCs w:val="20"/>
              </w:rPr>
            </w:pPr>
            <w:r w:rsidRPr="00005E76">
              <w:rPr>
                <w:rFonts w:ascii="Verdana" w:hAnsi="Verdana" w:cs="Arial"/>
                <w:b/>
                <w:sz w:val="20"/>
                <w:szCs w:val="20"/>
              </w:rPr>
              <w:t>Coordinación</w:t>
            </w:r>
          </w:p>
        </w:tc>
      </w:tr>
      <w:tr w:rsidR="00B615FD" w:rsidRPr="00005E76" w:rsidTr="00B615FD">
        <w:tc>
          <w:tcPr>
            <w:tcW w:w="9962" w:type="dxa"/>
            <w:shd w:val="clear" w:color="auto" w:fill="auto"/>
          </w:tcPr>
          <w:p w:rsidR="00B615FD" w:rsidRPr="00005E76" w:rsidRDefault="00B615FD" w:rsidP="00B615FD">
            <w:pPr>
              <w:jc w:val="both"/>
              <w:rPr>
                <w:rFonts w:ascii="Verdana" w:eastAsiaTheme="minorHAnsi" w:hAnsi="Verdana" w:cs="Verdana"/>
                <w:color w:val="000000"/>
                <w:sz w:val="20"/>
                <w:szCs w:val="20"/>
                <w:lang w:eastAsia="en-US"/>
              </w:rPr>
            </w:pPr>
          </w:p>
          <w:p w:rsidR="00B615FD" w:rsidRPr="00005E76" w:rsidRDefault="00B615FD" w:rsidP="00B615FD">
            <w:pPr>
              <w:jc w:val="both"/>
              <w:rPr>
                <w:rFonts w:ascii="Verdana" w:hAnsi="Verdana"/>
                <w:sz w:val="20"/>
                <w:szCs w:val="20"/>
              </w:rPr>
            </w:pPr>
            <w:r w:rsidRPr="00005E76">
              <w:rPr>
                <w:rFonts w:ascii="Verdana" w:eastAsiaTheme="minorHAnsi" w:hAnsi="Verdana" w:cs="Verdana"/>
                <w:color w:val="000000"/>
                <w:sz w:val="20"/>
                <w:szCs w:val="20"/>
                <w:lang w:eastAsia="en-US"/>
              </w:rPr>
              <w:t xml:space="preserve">El proyecto de Decreto comprende </w:t>
            </w:r>
            <w:r>
              <w:rPr>
                <w:rFonts w:ascii="Verdana" w:eastAsiaTheme="minorHAnsi" w:hAnsi="Verdana" w:cs="Verdana"/>
                <w:color w:val="000000"/>
                <w:sz w:val="20"/>
                <w:szCs w:val="20"/>
                <w:lang w:eastAsia="en-US"/>
              </w:rPr>
              <w:t xml:space="preserve">al sector de Hacienda Pública por lo cual tendrá suscripción conjunta. </w:t>
            </w:r>
          </w:p>
          <w:p w:rsidR="00B615FD" w:rsidRPr="00005E76" w:rsidRDefault="00B615FD" w:rsidP="00B615FD">
            <w:pPr>
              <w:jc w:val="both"/>
              <w:rPr>
                <w:rFonts w:ascii="Verdana" w:hAnsi="Verdana" w:cs="Verdana"/>
                <w:sz w:val="20"/>
                <w:szCs w:val="20"/>
              </w:rPr>
            </w:pPr>
          </w:p>
        </w:tc>
      </w:tr>
      <w:tr w:rsidR="00B615FD" w:rsidRPr="00005E76" w:rsidTr="00B615FD">
        <w:tc>
          <w:tcPr>
            <w:tcW w:w="9962" w:type="dxa"/>
            <w:shd w:val="clear" w:color="auto" w:fill="F2F2F2" w:themeFill="background1" w:themeFillShade="F2"/>
          </w:tcPr>
          <w:p w:rsidR="00B615FD" w:rsidRPr="00005E76" w:rsidRDefault="00B615FD" w:rsidP="00B615FD">
            <w:pPr>
              <w:numPr>
                <w:ilvl w:val="0"/>
                <w:numId w:val="1"/>
              </w:numPr>
              <w:jc w:val="center"/>
              <w:rPr>
                <w:rFonts w:ascii="Verdana" w:hAnsi="Verdana" w:cs="Arial"/>
                <w:sz w:val="20"/>
                <w:szCs w:val="20"/>
              </w:rPr>
            </w:pPr>
            <w:r w:rsidRPr="00005E76">
              <w:rPr>
                <w:rFonts w:ascii="Verdana" w:hAnsi="Verdana" w:cs="Arial"/>
                <w:b/>
                <w:sz w:val="20"/>
                <w:szCs w:val="20"/>
              </w:rPr>
              <w:t>Otros</w:t>
            </w:r>
          </w:p>
        </w:tc>
      </w:tr>
      <w:tr w:rsidR="00B615FD" w:rsidRPr="00005E76" w:rsidTr="00B615FD">
        <w:tc>
          <w:tcPr>
            <w:tcW w:w="9962" w:type="dxa"/>
            <w:shd w:val="clear" w:color="auto" w:fill="auto"/>
          </w:tcPr>
          <w:p w:rsidR="00B615FD" w:rsidRDefault="00B615FD" w:rsidP="00B615FD">
            <w:pPr>
              <w:tabs>
                <w:tab w:val="left" w:pos="1141"/>
              </w:tabs>
              <w:jc w:val="both"/>
              <w:rPr>
                <w:rFonts w:ascii="Verdana" w:hAnsi="Verdana" w:cs="Arial"/>
                <w:sz w:val="20"/>
                <w:szCs w:val="20"/>
              </w:rPr>
            </w:pPr>
          </w:p>
          <w:p w:rsidR="00B615FD" w:rsidRPr="00746D1E" w:rsidRDefault="00B615FD" w:rsidP="00B615FD">
            <w:pPr>
              <w:tabs>
                <w:tab w:val="left" w:pos="1141"/>
              </w:tabs>
              <w:jc w:val="both"/>
              <w:rPr>
                <w:rFonts w:ascii="Verdana" w:eastAsiaTheme="minorHAnsi" w:hAnsi="Verdana" w:cs="Verdana"/>
                <w:color w:val="000000"/>
                <w:sz w:val="20"/>
                <w:szCs w:val="20"/>
                <w:lang w:eastAsia="en-US"/>
              </w:rPr>
            </w:pPr>
            <w:r w:rsidRPr="00005E76">
              <w:rPr>
                <w:rFonts w:ascii="Verdana" w:eastAsiaTheme="minorHAnsi" w:hAnsi="Verdana" w:cs="Verdana"/>
                <w:color w:val="000000"/>
                <w:sz w:val="20"/>
                <w:szCs w:val="20"/>
                <w:lang w:eastAsia="en-US"/>
              </w:rPr>
              <w:t xml:space="preserve">El Decreto no incide sobre la libre competencia, por lo que no se diligencia el anexo 1 – relacionado con el </w:t>
            </w:r>
            <w:r w:rsidRPr="00746D1E">
              <w:rPr>
                <w:rFonts w:ascii="Verdana" w:eastAsiaTheme="minorHAnsi" w:hAnsi="Verdana" w:cs="Verdana"/>
                <w:color w:val="000000"/>
                <w:sz w:val="20"/>
                <w:szCs w:val="20"/>
                <w:lang w:eastAsia="en-US"/>
              </w:rPr>
              <w:t xml:space="preserve">Cuestionario de la Superintendencia de Industria y Comercio de acuerdo con lo establecido en la Resolución 44649 de 2010. </w:t>
            </w:r>
          </w:p>
          <w:p w:rsidR="006F7417" w:rsidRDefault="006F7417" w:rsidP="00B615FD">
            <w:pPr>
              <w:tabs>
                <w:tab w:val="left" w:pos="1141"/>
              </w:tabs>
              <w:jc w:val="both"/>
              <w:rPr>
                <w:rFonts w:ascii="Verdana" w:eastAsiaTheme="minorHAnsi" w:hAnsi="Verdana" w:cs="Verdana"/>
                <w:color w:val="000000"/>
                <w:sz w:val="20"/>
                <w:szCs w:val="20"/>
                <w:lang w:eastAsia="en-US"/>
              </w:rPr>
            </w:pPr>
          </w:p>
          <w:p w:rsidR="00335743" w:rsidRDefault="00335743" w:rsidP="00B615FD">
            <w:pPr>
              <w:tabs>
                <w:tab w:val="left" w:pos="1141"/>
              </w:tabs>
              <w:jc w:val="both"/>
              <w:rPr>
                <w:rFonts w:ascii="Verdana" w:eastAsiaTheme="minorHAnsi" w:hAnsi="Verdana" w:cs="Verdana"/>
                <w:color w:val="000000"/>
                <w:sz w:val="20"/>
                <w:szCs w:val="20"/>
                <w:lang w:eastAsia="en-US"/>
              </w:rPr>
            </w:pPr>
          </w:p>
          <w:p w:rsidR="00335743" w:rsidRDefault="00335743" w:rsidP="00B615FD">
            <w:pPr>
              <w:tabs>
                <w:tab w:val="left" w:pos="1141"/>
              </w:tabs>
              <w:jc w:val="both"/>
              <w:rPr>
                <w:rFonts w:ascii="Verdana" w:eastAsiaTheme="minorHAnsi" w:hAnsi="Verdana" w:cs="Verdana"/>
                <w:color w:val="000000"/>
                <w:sz w:val="20"/>
                <w:szCs w:val="20"/>
                <w:lang w:eastAsia="en-US"/>
              </w:rPr>
            </w:pPr>
          </w:p>
          <w:p w:rsidR="00335743" w:rsidRPr="00746D1E" w:rsidRDefault="00335743" w:rsidP="00B615FD">
            <w:pPr>
              <w:tabs>
                <w:tab w:val="left" w:pos="1141"/>
              </w:tabs>
              <w:jc w:val="both"/>
              <w:rPr>
                <w:rFonts w:ascii="Verdana" w:eastAsiaTheme="minorHAnsi" w:hAnsi="Verdana" w:cs="Verdana"/>
                <w:color w:val="000000"/>
                <w:sz w:val="20"/>
                <w:szCs w:val="20"/>
                <w:lang w:eastAsia="en-US"/>
              </w:rPr>
            </w:pPr>
            <w:bookmarkStart w:id="0" w:name="_GoBack"/>
            <w:bookmarkEnd w:id="0"/>
          </w:p>
          <w:p w:rsidR="006F7417" w:rsidRDefault="006F7417" w:rsidP="006F7417">
            <w:pPr>
              <w:tabs>
                <w:tab w:val="left" w:pos="1141"/>
              </w:tabs>
              <w:jc w:val="both"/>
              <w:rPr>
                <w:rFonts w:ascii="Verdana" w:eastAsiaTheme="minorHAnsi" w:hAnsi="Verdana" w:cs="Verdana"/>
                <w:color w:val="000000"/>
                <w:sz w:val="20"/>
                <w:szCs w:val="20"/>
                <w:lang w:eastAsia="en-US"/>
              </w:rPr>
            </w:pPr>
            <w:r w:rsidRPr="00746D1E">
              <w:rPr>
                <w:rFonts w:ascii="Verdana" w:eastAsiaTheme="minorHAnsi" w:hAnsi="Verdana" w:cs="Verdana"/>
                <w:color w:val="000000"/>
                <w:sz w:val="20"/>
                <w:szCs w:val="20"/>
                <w:lang w:eastAsia="en-US"/>
              </w:rPr>
              <w:lastRenderedPageBreak/>
              <w:t>El Decreto no crea o modifica un trámite, por lo que no debe adjuntarse el concepto del Departamento Administrativo de la Función Pública de que trata el artículo 2.1.2.1.11 del Decreto 1081 de 2015.</w:t>
            </w:r>
          </w:p>
          <w:p w:rsidR="00B615FD" w:rsidRPr="00005E76" w:rsidRDefault="006F7417" w:rsidP="006F7417">
            <w:pPr>
              <w:tabs>
                <w:tab w:val="left" w:pos="1141"/>
              </w:tabs>
              <w:jc w:val="both"/>
              <w:rPr>
                <w:rFonts w:ascii="Verdana" w:hAnsi="Verdana" w:cs="Arial"/>
                <w:sz w:val="20"/>
                <w:szCs w:val="20"/>
              </w:rPr>
            </w:pPr>
            <w:r w:rsidRPr="006F7417">
              <w:rPr>
                <w:rFonts w:ascii="Verdana" w:eastAsiaTheme="minorHAnsi" w:hAnsi="Verdana" w:cs="Verdana"/>
                <w:color w:val="000000"/>
                <w:sz w:val="20"/>
                <w:szCs w:val="20"/>
                <w:lang w:eastAsia="en-US"/>
              </w:rPr>
              <w:t xml:space="preserve"> </w:t>
            </w:r>
          </w:p>
        </w:tc>
      </w:tr>
    </w:tbl>
    <w:p w:rsidR="00354FEA" w:rsidRPr="00005E76" w:rsidRDefault="00354FEA" w:rsidP="00354FEA">
      <w:pPr>
        <w:jc w:val="both"/>
        <w:rPr>
          <w:rFonts w:ascii="Verdana" w:hAnsi="Verdana" w:cs="Arial"/>
          <w:sz w:val="20"/>
          <w:szCs w:val="20"/>
        </w:rPr>
      </w:pPr>
    </w:p>
    <w:p w:rsidR="000959FB" w:rsidRPr="00005E76" w:rsidRDefault="000959FB" w:rsidP="00354FEA">
      <w:pPr>
        <w:jc w:val="both"/>
        <w:rPr>
          <w:rFonts w:ascii="Verdana" w:hAnsi="Verdana" w:cs="Arial"/>
          <w:sz w:val="20"/>
          <w:szCs w:val="20"/>
        </w:rPr>
      </w:pPr>
      <w:bookmarkStart w:id="1" w:name="48"/>
      <w:bookmarkEnd w:id="1"/>
    </w:p>
    <w:p w:rsidR="00354FEA" w:rsidRDefault="00354FEA" w:rsidP="00354FEA">
      <w:pPr>
        <w:jc w:val="both"/>
        <w:rPr>
          <w:rFonts w:ascii="Verdana" w:eastAsiaTheme="minorHAnsi" w:hAnsi="Verdana" w:cs="Verdana"/>
          <w:color w:val="000000"/>
          <w:sz w:val="20"/>
          <w:szCs w:val="20"/>
          <w:lang w:eastAsia="en-US"/>
        </w:rPr>
      </w:pPr>
      <w:r w:rsidRPr="00005E76">
        <w:rPr>
          <w:rFonts w:ascii="Verdana" w:eastAsiaTheme="minorHAnsi" w:hAnsi="Verdana" w:cs="Verdana"/>
          <w:color w:val="000000"/>
          <w:sz w:val="20"/>
          <w:szCs w:val="20"/>
          <w:lang w:eastAsia="en-US"/>
        </w:rPr>
        <w:t>Cordialmente,</w:t>
      </w:r>
    </w:p>
    <w:p w:rsidR="00395FAF" w:rsidRDefault="00395FAF" w:rsidP="00354FEA">
      <w:pPr>
        <w:jc w:val="both"/>
        <w:rPr>
          <w:rFonts w:ascii="Verdana" w:eastAsiaTheme="minorHAnsi" w:hAnsi="Verdana" w:cs="Verdana"/>
          <w:color w:val="000000"/>
          <w:sz w:val="20"/>
          <w:szCs w:val="20"/>
          <w:lang w:eastAsia="en-US"/>
        </w:rPr>
      </w:pPr>
    </w:p>
    <w:p w:rsidR="00395FAF" w:rsidRDefault="00395FAF" w:rsidP="00354FEA">
      <w:pPr>
        <w:jc w:val="both"/>
        <w:rPr>
          <w:rFonts w:ascii="Verdana" w:eastAsiaTheme="minorHAnsi" w:hAnsi="Verdana" w:cs="Verdana"/>
          <w:color w:val="000000"/>
          <w:sz w:val="20"/>
          <w:szCs w:val="20"/>
          <w:lang w:eastAsia="en-US"/>
        </w:rPr>
      </w:pPr>
    </w:p>
    <w:p w:rsidR="00395FAF" w:rsidRDefault="00395FAF" w:rsidP="00354FEA">
      <w:pPr>
        <w:jc w:val="both"/>
        <w:rPr>
          <w:rFonts w:ascii="Verdana" w:eastAsiaTheme="minorHAnsi" w:hAnsi="Verdana" w:cs="Verdana"/>
          <w:color w:val="000000"/>
          <w:sz w:val="20"/>
          <w:szCs w:val="20"/>
          <w:lang w:eastAsia="en-US"/>
        </w:rPr>
      </w:pPr>
    </w:p>
    <w:p w:rsidR="00395FAF" w:rsidRDefault="00395FAF" w:rsidP="00354FEA">
      <w:pPr>
        <w:jc w:val="both"/>
        <w:rPr>
          <w:rFonts w:ascii="Verdana" w:eastAsiaTheme="minorHAnsi" w:hAnsi="Verdana" w:cs="Verdana"/>
          <w:color w:val="000000"/>
          <w:sz w:val="20"/>
          <w:szCs w:val="20"/>
          <w:lang w:eastAsia="en-US"/>
        </w:rPr>
      </w:pPr>
    </w:p>
    <w:p w:rsidR="00395FAF" w:rsidRPr="002723AE" w:rsidRDefault="00395FAF" w:rsidP="00354FEA">
      <w:pPr>
        <w:jc w:val="both"/>
        <w:rPr>
          <w:rFonts w:ascii="Verdana" w:eastAsiaTheme="minorHAnsi" w:hAnsi="Verdana" w:cs="Verdana"/>
          <w:b/>
          <w:color w:val="000000"/>
          <w:sz w:val="20"/>
          <w:szCs w:val="20"/>
          <w:lang w:eastAsia="en-US"/>
        </w:rPr>
      </w:pPr>
      <w:r w:rsidRPr="002723AE">
        <w:rPr>
          <w:rFonts w:ascii="Verdana" w:eastAsiaTheme="minorHAnsi" w:hAnsi="Verdana" w:cs="Verdana"/>
          <w:b/>
          <w:color w:val="000000"/>
          <w:sz w:val="20"/>
          <w:szCs w:val="20"/>
          <w:lang w:eastAsia="en-US"/>
        </w:rPr>
        <w:t>JUAN MANUEL VARGAS AYALA</w:t>
      </w:r>
    </w:p>
    <w:p w:rsidR="00354FEA" w:rsidRPr="00005E76" w:rsidRDefault="00395FAF" w:rsidP="000959FB">
      <w:pPr>
        <w:jc w:val="both"/>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Jefe Oficina Asesora Jurídica</w:t>
      </w:r>
    </w:p>
    <w:sectPr w:rsidR="00354FEA" w:rsidRPr="00005E76" w:rsidSect="00E070AE">
      <w:footerReference w:type="default" r:id="rId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19B" w:rsidRDefault="00C1119B" w:rsidP="00354FEA">
      <w:r>
        <w:separator/>
      </w:r>
    </w:p>
  </w:endnote>
  <w:endnote w:type="continuationSeparator" w:id="0">
    <w:p w:rsidR="00C1119B" w:rsidRDefault="00C1119B" w:rsidP="0035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39" w:rsidRDefault="00C1119B" w:rsidP="00E070AE">
    <w:pPr>
      <w:pStyle w:val="Piedepgina"/>
      <w:jc w:val="right"/>
      <w:rPr>
        <w:rFonts w:ascii="Arial Narrow" w:hAnsi="Arial Narrow"/>
        <w:color w:val="000000"/>
        <w:sz w:val="14"/>
        <w:szCs w:val="14"/>
      </w:rPr>
    </w:pPr>
  </w:p>
  <w:p w:rsidR="00E070AE" w:rsidRDefault="003D5EE8" w:rsidP="00E070AE">
    <w:pPr>
      <w:pStyle w:val="Piedepgina"/>
      <w:jc w:val="right"/>
    </w:pPr>
    <w:r w:rsidRPr="00E632EB">
      <w:rPr>
        <w:rFonts w:ascii="Arial Narrow" w:hAnsi="Arial Narrow"/>
        <w:color w:val="000000"/>
        <w:sz w:val="14"/>
        <w:szCs w:val="14"/>
      </w:rPr>
      <w:t xml:space="preserve">Página </w:t>
    </w:r>
    <w:r w:rsidRPr="00E632EB">
      <w:rPr>
        <w:rFonts w:ascii="Arial Narrow" w:hAnsi="Arial Narrow"/>
        <w:color w:val="000000"/>
        <w:sz w:val="14"/>
        <w:szCs w:val="14"/>
      </w:rPr>
      <w:fldChar w:fldCharType="begin"/>
    </w:r>
    <w:r w:rsidRPr="00E632EB">
      <w:rPr>
        <w:rFonts w:ascii="Arial Narrow" w:hAnsi="Arial Narrow"/>
        <w:color w:val="000000"/>
        <w:sz w:val="14"/>
        <w:szCs w:val="14"/>
      </w:rPr>
      <w:instrText xml:space="preserve"> PAGE </w:instrText>
    </w:r>
    <w:r w:rsidRPr="00E632EB">
      <w:rPr>
        <w:rFonts w:ascii="Arial Narrow" w:hAnsi="Arial Narrow"/>
        <w:color w:val="000000"/>
        <w:sz w:val="14"/>
        <w:szCs w:val="14"/>
      </w:rPr>
      <w:fldChar w:fldCharType="separate"/>
    </w:r>
    <w:r w:rsidR="00335743">
      <w:rPr>
        <w:rFonts w:ascii="Arial Narrow" w:hAnsi="Arial Narrow"/>
        <w:noProof/>
        <w:color w:val="000000"/>
        <w:sz w:val="14"/>
        <w:szCs w:val="14"/>
      </w:rPr>
      <w:t>4</w:t>
    </w:r>
    <w:r w:rsidRPr="00E632EB">
      <w:rPr>
        <w:rFonts w:ascii="Arial Narrow" w:hAnsi="Arial Narrow"/>
        <w:color w:val="000000"/>
        <w:sz w:val="14"/>
        <w:szCs w:val="14"/>
      </w:rPr>
      <w:fldChar w:fldCharType="end"/>
    </w:r>
    <w:r w:rsidRPr="00E632EB">
      <w:rPr>
        <w:rFonts w:ascii="Arial Narrow" w:hAnsi="Arial Narrow"/>
        <w:color w:val="000000"/>
        <w:sz w:val="14"/>
        <w:szCs w:val="14"/>
      </w:rPr>
      <w:t xml:space="preserve"> de </w:t>
    </w:r>
    <w:r w:rsidRPr="00E632EB">
      <w:rPr>
        <w:rFonts w:ascii="Arial Narrow" w:hAnsi="Arial Narrow"/>
        <w:color w:val="000000"/>
        <w:sz w:val="14"/>
        <w:szCs w:val="14"/>
      </w:rPr>
      <w:fldChar w:fldCharType="begin"/>
    </w:r>
    <w:r w:rsidRPr="00E632EB">
      <w:rPr>
        <w:rFonts w:ascii="Arial Narrow" w:hAnsi="Arial Narrow"/>
        <w:color w:val="000000"/>
        <w:sz w:val="14"/>
        <w:szCs w:val="14"/>
      </w:rPr>
      <w:instrText xml:space="preserve"> NUMPAGES </w:instrText>
    </w:r>
    <w:r w:rsidRPr="00E632EB">
      <w:rPr>
        <w:rFonts w:ascii="Arial Narrow" w:hAnsi="Arial Narrow"/>
        <w:color w:val="000000"/>
        <w:sz w:val="14"/>
        <w:szCs w:val="14"/>
      </w:rPr>
      <w:fldChar w:fldCharType="separate"/>
    </w:r>
    <w:r w:rsidR="00335743">
      <w:rPr>
        <w:rFonts w:ascii="Arial Narrow" w:hAnsi="Arial Narrow"/>
        <w:noProof/>
        <w:color w:val="000000"/>
        <w:sz w:val="14"/>
        <w:szCs w:val="14"/>
      </w:rPr>
      <w:t>5</w:t>
    </w:r>
    <w:r w:rsidRPr="00E632EB">
      <w:rPr>
        <w:rFonts w:ascii="Arial Narrow" w:hAnsi="Arial Narrow"/>
        <w:color w:val="000000"/>
        <w:sz w:val="14"/>
        <w:szCs w:val="14"/>
      </w:rPr>
      <w:fldChar w:fldCharType="end"/>
    </w:r>
  </w:p>
  <w:p w:rsidR="006F3A0D" w:rsidRDefault="00C111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19B" w:rsidRDefault="00C1119B" w:rsidP="00354FEA">
      <w:r>
        <w:separator/>
      </w:r>
    </w:p>
  </w:footnote>
  <w:footnote w:type="continuationSeparator" w:id="0">
    <w:p w:rsidR="00C1119B" w:rsidRDefault="00C1119B" w:rsidP="00354FEA">
      <w:r>
        <w:continuationSeparator/>
      </w:r>
    </w:p>
  </w:footnote>
  <w:footnote w:id="1">
    <w:p w:rsidR="00354FEA" w:rsidRPr="009F0348" w:rsidRDefault="00354FEA" w:rsidP="007A12BA">
      <w:pPr>
        <w:pStyle w:val="Textonotapie"/>
        <w:jc w:val="both"/>
        <w:rPr>
          <w:rFonts w:ascii="Verdana" w:hAnsi="Verdana"/>
        </w:rPr>
      </w:pPr>
      <w:r w:rsidRPr="009F0348">
        <w:rPr>
          <w:rStyle w:val="Refdenotaalpie"/>
          <w:rFonts w:ascii="Verdana" w:hAnsi="Verdana"/>
          <w:sz w:val="18"/>
        </w:rPr>
        <w:footnoteRef/>
      </w:r>
      <w:r w:rsidRPr="009F0348">
        <w:rPr>
          <w:rFonts w:ascii="Verdana" w:hAnsi="Verdana"/>
          <w:sz w:val="18"/>
        </w:rPr>
        <w:t xml:space="preserve"> El contenido de este documento incluye los requerimientos de la etapa previa, de que trata el Anexo </w:t>
      </w:r>
      <w:r w:rsidR="002723AE">
        <w:rPr>
          <w:rFonts w:ascii="Verdana" w:hAnsi="Verdana"/>
          <w:sz w:val="18"/>
        </w:rPr>
        <w:t>A</w:t>
      </w:r>
      <w:r w:rsidRPr="009F0348">
        <w:rPr>
          <w:rFonts w:ascii="Verdana" w:hAnsi="Verdana"/>
          <w:sz w:val="18"/>
        </w:rPr>
        <w:t xml:space="preserve"> que hace referencia el Decreto 1081 de 2015, en lo relacionado con las directrices generales de técnica normativa.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05729"/>
    <w:multiLevelType w:val="hybridMultilevel"/>
    <w:tmpl w:val="63C86F3E"/>
    <w:lvl w:ilvl="0" w:tplc="1D64FB60">
      <w:start w:val="1"/>
      <w:numFmt w:val="decimal"/>
      <w:lvlText w:val="%1."/>
      <w:lvlJc w:val="left"/>
      <w:pPr>
        <w:ind w:left="360" w:hanging="360"/>
      </w:pPr>
      <w:rPr>
        <w:rFonts w:cs="Times New Roman" w:hint="default"/>
        <w:b/>
      </w:rPr>
    </w:lvl>
    <w:lvl w:ilvl="1" w:tplc="09602638">
      <w:start w:val="1"/>
      <w:numFmt w:val="upperRoman"/>
      <w:lvlText w:val="%2."/>
      <w:lvlJc w:val="right"/>
      <w:pPr>
        <w:ind w:left="1080" w:hanging="360"/>
      </w:pPr>
      <w:rPr>
        <w:b/>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15:restartNumberingAfterBreak="0">
    <w:nsid w:val="5E274AD2"/>
    <w:multiLevelType w:val="hybridMultilevel"/>
    <w:tmpl w:val="25884C5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EA"/>
    <w:rsid w:val="00005E76"/>
    <w:rsid w:val="0003784A"/>
    <w:rsid w:val="000753C9"/>
    <w:rsid w:val="000959FB"/>
    <w:rsid w:val="000B3B98"/>
    <w:rsid w:val="000C70B0"/>
    <w:rsid w:val="00145C0D"/>
    <w:rsid w:val="001725F8"/>
    <w:rsid w:val="00221F0B"/>
    <w:rsid w:val="002372E1"/>
    <w:rsid w:val="002723AE"/>
    <w:rsid w:val="002723EB"/>
    <w:rsid w:val="00275B1F"/>
    <w:rsid w:val="00285EE6"/>
    <w:rsid w:val="002E5AC1"/>
    <w:rsid w:val="00320F8D"/>
    <w:rsid w:val="00335743"/>
    <w:rsid w:val="00354FEA"/>
    <w:rsid w:val="0038132E"/>
    <w:rsid w:val="00395FAF"/>
    <w:rsid w:val="00397AC7"/>
    <w:rsid w:val="003B514F"/>
    <w:rsid w:val="003D5EE8"/>
    <w:rsid w:val="004D752F"/>
    <w:rsid w:val="004E2C41"/>
    <w:rsid w:val="00520117"/>
    <w:rsid w:val="00553CFB"/>
    <w:rsid w:val="005A4079"/>
    <w:rsid w:val="005B51F4"/>
    <w:rsid w:val="00625AD7"/>
    <w:rsid w:val="00661D31"/>
    <w:rsid w:val="00695F5C"/>
    <w:rsid w:val="006F5868"/>
    <w:rsid w:val="006F7417"/>
    <w:rsid w:val="00712D98"/>
    <w:rsid w:val="00746D1E"/>
    <w:rsid w:val="007A12BA"/>
    <w:rsid w:val="007C7FC3"/>
    <w:rsid w:val="007E0ABA"/>
    <w:rsid w:val="007F6B38"/>
    <w:rsid w:val="00832788"/>
    <w:rsid w:val="00853FB3"/>
    <w:rsid w:val="008548D1"/>
    <w:rsid w:val="008B3DA5"/>
    <w:rsid w:val="008B4389"/>
    <w:rsid w:val="008D3229"/>
    <w:rsid w:val="00912177"/>
    <w:rsid w:val="00977F87"/>
    <w:rsid w:val="009C02FD"/>
    <w:rsid w:val="009F0348"/>
    <w:rsid w:val="00A00303"/>
    <w:rsid w:val="00AC565F"/>
    <w:rsid w:val="00B44751"/>
    <w:rsid w:val="00B615FD"/>
    <w:rsid w:val="00B64061"/>
    <w:rsid w:val="00C1119B"/>
    <w:rsid w:val="00C17BA2"/>
    <w:rsid w:val="00C47754"/>
    <w:rsid w:val="00D62FF6"/>
    <w:rsid w:val="00DC0748"/>
    <w:rsid w:val="00DE4C07"/>
    <w:rsid w:val="00E375DD"/>
    <w:rsid w:val="00ED4014"/>
    <w:rsid w:val="00F37DA3"/>
    <w:rsid w:val="00FB652F"/>
    <w:rsid w:val="00FE41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BD240-53C8-4871-8CE4-982CA8A1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FE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encabezado,Encabezado Car Car Car Car Car,Encabezado Car Car Car"/>
    <w:basedOn w:val="Normal"/>
    <w:link w:val="EncabezadoCar"/>
    <w:uiPriority w:val="99"/>
    <w:unhideWhenUsed/>
    <w:rsid w:val="00354FEA"/>
    <w:pPr>
      <w:tabs>
        <w:tab w:val="center" w:pos="4419"/>
        <w:tab w:val="right" w:pos="8838"/>
      </w:tabs>
    </w:pPr>
    <w:rPr>
      <w:rFonts w:ascii="Calibri" w:eastAsia="Calibri" w:hAnsi="Calibri"/>
      <w:sz w:val="22"/>
      <w:szCs w:val="22"/>
      <w:lang w:eastAsia="en-US"/>
    </w:rPr>
  </w:style>
  <w:style w:type="character" w:customStyle="1" w:styleId="EncabezadoCar">
    <w:name w:val="Encabezado Car"/>
    <w:aliases w:val="Encabezado1 Car,encabezado Car,Encabezado Car Car Car Car Car Car,Encabezado Car Car Car Car"/>
    <w:basedOn w:val="Fuentedeprrafopredeter"/>
    <w:link w:val="Encabezado"/>
    <w:uiPriority w:val="99"/>
    <w:rsid w:val="00354FEA"/>
    <w:rPr>
      <w:rFonts w:ascii="Calibri" w:eastAsia="Calibri" w:hAnsi="Calibri" w:cs="Times New Roman"/>
    </w:rPr>
  </w:style>
  <w:style w:type="paragraph" w:styleId="Piedepgina">
    <w:name w:val="footer"/>
    <w:basedOn w:val="Normal"/>
    <w:link w:val="PiedepginaCar"/>
    <w:uiPriority w:val="99"/>
    <w:unhideWhenUsed/>
    <w:rsid w:val="00354FEA"/>
    <w:pPr>
      <w:tabs>
        <w:tab w:val="center" w:pos="4419"/>
        <w:tab w:val="right" w:pos="8838"/>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354FEA"/>
    <w:rPr>
      <w:rFonts w:ascii="Calibri" w:eastAsia="Calibri" w:hAnsi="Calibri" w:cs="Times New Roman"/>
    </w:rPr>
  </w:style>
  <w:style w:type="paragraph" w:customStyle="1" w:styleId="epgrafe">
    <w:name w:val="epgrafe"/>
    <w:basedOn w:val="Normal"/>
    <w:rsid w:val="00354FEA"/>
    <w:pPr>
      <w:spacing w:before="100" w:beforeAutospacing="1" w:after="100" w:afterAutospacing="1"/>
    </w:pPr>
    <w:rPr>
      <w:rFonts w:eastAsia="Calibri"/>
      <w:lang w:val="es-ES"/>
    </w:rPr>
  </w:style>
  <w:style w:type="paragraph" w:styleId="Prrafodelista">
    <w:name w:val="List Paragraph"/>
    <w:basedOn w:val="Normal"/>
    <w:uiPriority w:val="34"/>
    <w:qFormat/>
    <w:rsid w:val="00354FEA"/>
    <w:pPr>
      <w:ind w:left="720"/>
      <w:contextualSpacing/>
    </w:pPr>
  </w:style>
  <w:style w:type="paragraph" w:customStyle="1" w:styleId="Prrafodelista1">
    <w:name w:val="Párrafo de lista1"/>
    <w:basedOn w:val="Normal"/>
    <w:rsid w:val="00354FEA"/>
    <w:pPr>
      <w:ind w:left="720"/>
    </w:pPr>
    <w:rPr>
      <w:lang w:val="es-ES_tradnl"/>
    </w:rPr>
  </w:style>
  <w:style w:type="paragraph" w:styleId="Sinespaciado">
    <w:name w:val="No Spacing"/>
    <w:uiPriority w:val="1"/>
    <w:qFormat/>
    <w:rsid w:val="00354FEA"/>
    <w:pPr>
      <w:spacing w:after="0" w:line="240" w:lineRule="auto"/>
    </w:pPr>
    <w:rPr>
      <w:rFonts w:ascii="Times New Roman" w:eastAsia="Times New Roman" w:hAnsi="Times New Roman" w:cs="Times New Roman"/>
      <w:sz w:val="24"/>
      <w:szCs w:val="24"/>
      <w:lang w:val="es-ES_tradnl" w:eastAsia="es-ES"/>
    </w:rPr>
  </w:style>
  <w:style w:type="character" w:customStyle="1" w:styleId="Bodytext10">
    <w:name w:val="Body text (10)"/>
    <w:link w:val="Bodytext101"/>
    <w:uiPriority w:val="99"/>
    <w:rsid w:val="00354FEA"/>
    <w:rPr>
      <w:b/>
      <w:bCs/>
      <w:shd w:val="clear" w:color="auto" w:fill="FFFFFF"/>
    </w:rPr>
  </w:style>
  <w:style w:type="paragraph" w:customStyle="1" w:styleId="Bodytext101">
    <w:name w:val="Body text (10)1"/>
    <w:basedOn w:val="Normal"/>
    <w:link w:val="Bodytext10"/>
    <w:uiPriority w:val="99"/>
    <w:rsid w:val="00354FEA"/>
    <w:pPr>
      <w:shd w:val="clear" w:color="auto" w:fill="FFFFFF"/>
      <w:spacing w:before="180" w:after="300" w:line="240" w:lineRule="atLeast"/>
    </w:pPr>
    <w:rPr>
      <w:rFonts w:asciiTheme="minorHAnsi" w:eastAsiaTheme="minorHAnsi" w:hAnsiTheme="minorHAnsi" w:cstheme="minorBidi"/>
      <w:b/>
      <w:bCs/>
      <w:sz w:val="22"/>
      <w:szCs w:val="22"/>
      <w:lang w:eastAsia="en-US"/>
    </w:rPr>
  </w:style>
  <w:style w:type="paragraph" w:styleId="NormalWeb">
    <w:name w:val="Normal (Web)"/>
    <w:basedOn w:val="Normal"/>
    <w:uiPriority w:val="99"/>
    <w:unhideWhenUsed/>
    <w:rsid w:val="00354FEA"/>
    <w:pPr>
      <w:spacing w:before="100" w:beforeAutospacing="1" w:after="100" w:afterAutospacing="1"/>
    </w:pPr>
    <w:rPr>
      <w:lang w:eastAsia="es-CO"/>
    </w:rPr>
  </w:style>
  <w:style w:type="paragraph" w:styleId="Textonotapie">
    <w:name w:val="footnote text"/>
    <w:basedOn w:val="Normal"/>
    <w:link w:val="TextonotapieCar"/>
    <w:uiPriority w:val="99"/>
    <w:semiHidden/>
    <w:unhideWhenUsed/>
    <w:rsid w:val="00354FEA"/>
    <w:rPr>
      <w:sz w:val="20"/>
      <w:szCs w:val="20"/>
    </w:rPr>
  </w:style>
  <w:style w:type="character" w:customStyle="1" w:styleId="TextonotapieCar">
    <w:name w:val="Texto nota pie Car"/>
    <w:basedOn w:val="Fuentedeprrafopredeter"/>
    <w:link w:val="Textonotapie"/>
    <w:uiPriority w:val="99"/>
    <w:semiHidden/>
    <w:rsid w:val="00354FEA"/>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354FEA"/>
    <w:rPr>
      <w:vertAlign w:val="superscript"/>
    </w:rPr>
  </w:style>
  <w:style w:type="paragraph" w:customStyle="1" w:styleId="Default">
    <w:name w:val="Default"/>
    <w:rsid w:val="00354FEA"/>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725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25F8"/>
    <w:rPr>
      <w:rFonts w:ascii="Segoe UI" w:eastAsia="Times New Roman" w:hAnsi="Segoe UI" w:cs="Segoe UI"/>
      <w:sz w:val="18"/>
      <w:szCs w:val="18"/>
      <w:lang w:eastAsia="es-ES"/>
    </w:rPr>
  </w:style>
  <w:style w:type="character" w:styleId="Refdecomentario">
    <w:name w:val="annotation reference"/>
    <w:rsid w:val="009F0348"/>
    <w:rPr>
      <w:sz w:val="16"/>
    </w:rPr>
  </w:style>
  <w:style w:type="paragraph" w:styleId="Textocomentario">
    <w:name w:val="annotation text"/>
    <w:basedOn w:val="Normal"/>
    <w:link w:val="TextocomentarioCar"/>
    <w:rsid w:val="009F0348"/>
    <w:pPr>
      <w:autoSpaceDE w:val="0"/>
      <w:autoSpaceDN w:val="0"/>
    </w:pPr>
    <w:rPr>
      <w:rFonts w:ascii="Arial" w:hAnsi="Arial"/>
      <w:color w:val="000000"/>
      <w:sz w:val="20"/>
      <w:szCs w:val="20"/>
      <w:lang w:val="x-none"/>
    </w:rPr>
  </w:style>
  <w:style w:type="character" w:customStyle="1" w:styleId="TextocomentarioCar">
    <w:name w:val="Texto comentario Car"/>
    <w:basedOn w:val="Fuentedeprrafopredeter"/>
    <w:link w:val="Textocomentario"/>
    <w:rsid w:val="009F0348"/>
    <w:rPr>
      <w:rFonts w:ascii="Arial" w:eastAsia="Times New Roman" w:hAnsi="Arial" w:cs="Times New Roman"/>
      <w:color w:val="000000"/>
      <w:sz w:val="20"/>
      <w:szCs w:val="20"/>
      <w:lang w:val="x-none" w:eastAsia="es-ES"/>
    </w:rPr>
  </w:style>
  <w:style w:type="character" w:customStyle="1" w:styleId="apple-converted-space">
    <w:name w:val="apple-converted-space"/>
    <w:rsid w:val="009F0348"/>
  </w:style>
  <w:style w:type="character" w:styleId="Hipervnculo">
    <w:name w:val="Hyperlink"/>
    <w:basedOn w:val="Fuentedeprrafopredeter"/>
    <w:uiPriority w:val="99"/>
    <w:unhideWhenUsed/>
    <w:rsid w:val="00D62F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8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H7EN5MXTHQNV-662-1146</_dlc_DocId>
    <_dlc_DocIdUrl xmlns="ae9388c0-b1e2-40ea-b6a8-c51c7913cbd2">
      <Url>https://www.mincultura.gov.co/prensa/noticias/_layouts/15/DocIdRedir.aspx?ID=H7EN5MXTHQNV-662-1146</Url>
      <Description>H7EN5MXTHQNV-662-1146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3E3B8-6E1A-4DB1-A697-4C817A0D6196}"/>
</file>

<file path=customXml/itemProps2.xml><?xml version="1.0" encoding="utf-8"?>
<ds:datastoreItem xmlns:ds="http://schemas.openxmlformats.org/officeDocument/2006/customXml" ds:itemID="{34C8DF95-A0F2-4C9A-A4C8-52A38915B055}"/>
</file>

<file path=customXml/itemProps3.xml><?xml version="1.0" encoding="utf-8"?>
<ds:datastoreItem xmlns:ds="http://schemas.openxmlformats.org/officeDocument/2006/customXml" ds:itemID="{2C677198-640C-4728-8D3B-0B94300C3184}"/>
</file>

<file path=customXml/itemProps4.xml><?xml version="1.0" encoding="utf-8"?>
<ds:datastoreItem xmlns:ds="http://schemas.openxmlformats.org/officeDocument/2006/customXml" ds:itemID="{C61F0B0E-0148-4502-ADB1-4C2EF827FF35}"/>
</file>

<file path=docProps/app.xml><?xml version="1.0" encoding="utf-8"?>
<Properties xmlns="http://schemas.openxmlformats.org/officeDocument/2006/extended-properties" xmlns:vt="http://schemas.openxmlformats.org/officeDocument/2006/docPropsVTypes">
  <Template>Normal</Template>
  <TotalTime>43</TotalTime>
  <Pages>5</Pages>
  <Words>1556</Words>
  <Characters>8559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July Esperanza Gonzalez Monsalve</dc:creator>
  <cp:lastModifiedBy>Maria Alejandra Caicedo</cp:lastModifiedBy>
  <cp:revision>5</cp:revision>
  <cp:lastPrinted>2017-04-24T14:44:00Z</cp:lastPrinted>
  <dcterms:created xsi:type="dcterms:W3CDTF">2017-04-24T14:00:00Z</dcterms:created>
  <dcterms:modified xsi:type="dcterms:W3CDTF">2017-04-24T14:44:00Z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ff304e55-6182-47f9-8d95-12e9540495e0</vt:lpwstr>
  </property>
</Properties>
</file>