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9AF5" w14:textId="77777777" w:rsidR="009F61DA" w:rsidRPr="00BA54B3" w:rsidRDefault="009F61DA" w:rsidP="009F61DA">
      <w:pPr>
        <w:tabs>
          <w:tab w:val="left" w:pos="1843"/>
        </w:tabs>
        <w:jc w:val="center"/>
        <w:rPr>
          <w:b/>
          <w:color w:val="FF0000"/>
          <w:szCs w:val="22"/>
          <w:u w:val="single"/>
        </w:rPr>
      </w:pPr>
      <w:r>
        <w:rPr>
          <w:b/>
          <w:szCs w:val="22"/>
          <w:lang w:val="es-MX"/>
        </w:rPr>
        <w:t>FICHAS NORMATIVAS CONJUNTO MOLINO TUNDAMA</w:t>
      </w:r>
    </w:p>
    <w:p w14:paraId="701D676B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"/>
        <w:jc w:val="both"/>
        <w:rPr>
          <w:b/>
          <w:szCs w:val="22"/>
          <w:lang w:val="es-MX"/>
        </w:rPr>
      </w:pPr>
    </w:p>
    <w:p w14:paraId="3315597A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val="es-MX"/>
        </w:rPr>
      </w:pPr>
      <w:r>
        <w:rPr>
          <w:szCs w:val="22"/>
          <w:lang w:val="es-MX"/>
        </w:rPr>
        <w:t>FICHA 1.</w:t>
      </w:r>
    </w:p>
    <w:p w14:paraId="55165C7C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val="es-MX"/>
        </w:rPr>
      </w:pPr>
    </w:p>
    <w:p w14:paraId="55E6DF9B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val="es-MX"/>
        </w:rPr>
      </w:pPr>
      <w:r>
        <w:rPr>
          <w:szCs w:val="22"/>
          <w:lang w:val="es-MX"/>
        </w:rPr>
        <w:t>Ficha normativa para el Sector</w:t>
      </w:r>
      <w:r w:rsidRPr="00BA54B3">
        <w:rPr>
          <w:szCs w:val="22"/>
          <w:lang w:val="es-MX"/>
        </w:rPr>
        <w:t xml:space="preserve"> 1, el cual hace parte del área afectada.</w:t>
      </w:r>
    </w:p>
    <w:p w14:paraId="151D1FFE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3544"/>
        <w:gridCol w:w="3969"/>
      </w:tblGrid>
      <w:tr w:rsidR="009F61DA" w:rsidRPr="00BA54B3" w14:paraId="5B535744" w14:textId="77777777" w:rsidTr="00286A53">
        <w:trPr>
          <w:trHeight w:val="218"/>
        </w:trPr>
        <w:tc>
          <w:tcPr>
            <w:tcW w:w="1833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textDirection w:val="btLr"/>
            <w:vAlign w:val="center"/>
            <w:hideMark/>
          </w:tcPr>
          <w:p w14:paraId="19610F38" w14:textId="77777777" w:rsidR="009F61DA" w:rsidRPr="00BA54B3" w:rsidRDefault="009F61DA" w:rsidP="00286A53">
            <w:pPr>
              <w:shd w:val="clear" w:color="auto" w:fill="FFFFFF"/>
              <w:ind w:left="113" w:right="113"/>
              <w:jc w:val="center"/>
              <w:rPr>
                <w:szCs w:val="22"/>
              </w:rPr>
            </w:pPr>
            <w:bookmarkStart w:id="0" w:name="_Hlk7329275"/>
          </w:p>
        </w:tc>
        <w:tc>
          <w:tcPr>
            <w:tcW w:w="7513" w:type="dxa"/>
            <w:gridSpan w:val="2"/>
            <w:shd w:val="clear" w:color="auto" w:fill="FF0000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B9196CF" w14:textId="77777777" w:rsidR="009F61DA" w:rsidRPr="00BA54B3" w:rsidRDefault="009F61DA" w:rsidP="00286A53">
            <w:pPr>
              <w:jc w:val="center"/>
              <w:rPr>
                <w:b/>
                <w:color w:val="FFFFFF"/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 xml:space="preserve">ÁREA AFECTADA </w:t>
            </w:r>
          </w:p>
        </w:tc>
      </w:tr>
      <w:tr w:rsidR="009F61DA" w:rsidRPr="00BA54B3" w14:paraId="68C7BD2E" w14:textId="77777777" w:rsidTr="00286A53">
        <w:trPr>
          <w:trHeight w:val="218"/>
        </w:trPr>
        <w:tc>
          <w:tcPr>
            <w:tcW w:w="1833" w:type="dxa"/>
            <w:vMerge/>
            <w:vAlign w:val="center"/>
          </w:tcPr>
          <w:p w14:paraId="2747C44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513" w:type="dxa"/>
            <w:gridSpan w:val="2"/>
            <w:shd w:val="clear" w:color="auto" w:fill="FFFFFF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7412226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MANZANA 46</w:t>
            </w:r>
          </w:p>
        </w:tc>
      </w:tr>
      <w:tr w:rsidR="009F61DA" w:rsidRPr="00BA54B3" w14:paraId="1B837255" w14:textId="77777777" w:rsidTr="00286A53">
        <w:trPr>
          <w:trHeight w:val="218"/>
        </w:trPr>
        <w:tc>
          <w:tcPr>
            <w:tcW w:w="183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1B1827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2D996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1E64F78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Sector 1</w:t>
            </w:r>
          </w:p>
        </w:tc>
      </w:tr>
      <w:tr w:rsidR="009F61DA" w:rsidRPr="00BA54B3" w14:paraId="6AF08E4F" w14:textId="77777777" w:rsidTr="00286A53">
        <w:trPr>
          <w:trHeight w:val="795"/>
        </w:trPr>
        <w:tc>
          <w:tcPr>
            <w:tcW w:w="183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CC5E22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E819947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-Molino </w:t>
            </w:r>
            <w:proofErr w:type="spellStart"/>
            <w:r w:rsidRPr="00BA54B3">
              <w:rPr>
                <w:szCs w:val="22"/>
              </w:rPr>
              <w:t>Tundama</w:t>
            </w:r>
            <w:proofErr w:type="spellEnd"/>
            <w:r w:rsidRPr="00BA54B3">
              <w:rPr>
                <w:szCs w:val="22"/>
              </w:rPr>
              <w:t xml:space="preserve"> </w:t>
            </w:r>
          </w:p>
          <w:p w14:paraId="7CE231F3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correspondiente a los Predios 0074 con dirección catastral carrera 16 # 19-73 y </w:t>
            </w:r>
            <w:r>
              <w:rPr>
                <w:szCs w:val="22"/>
              </w:rPr>
              <w:t>0</w:t>
            </w:r>
            <w:r w:rsidRPr="00BA54B3">
              <w:rPr>
                <w:szCs w:val="22"/>
              </w:rPr>
              <w:t>010 con dirección carrera 16 #19-101.</w:t>
            </w:r>
          </w:p>
          <w:p w14:paraId="0CA32C8B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</w:p>
        </w:tc>
      </w:tr>
      <w:tr w:rsidR="009F61DA" w:rsidRPr="00BA54B3" w14:paraId="494F9BFE" w14:textId="77777777" w:rsidTr="00286A53">
        <w:trPr>
          <w:cantSplit/>
          <w:trHeight w:val="804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990674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Niveles de Intervención</w:t>
            </w:r>
          </w:p>
          <w:p w14:paraId="23D7154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3544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D589373" w14:textId="77777777" w:rsidR="009F61DA" w:rsidRPr="00365AAC" w:rsidRDefault="009F61DA" w:rsidP="00286A53">
            <w:pPr>
              <w:shd w:val="clear" w:color="auto" w:fill="FFFFFF"/>
              <w:rPr>
                <w:szCs w:val="22"/>
              </w:rPr>
            </w:pPr>
            <w:r w:rsidRPr="00365AAC">
              <w:rPr>
                <w:szCs w:val="22"/>
              </w:rPr>
              <w:t>Nivel 1: Conservación Integral</w:t>
            </w:r>
            <w:r>
              <w:rPr>
                <w:szCs w:val="22"/>
              </w:rPr>
              <w:t>.</w:t>
            </w:r>
          </w:p>
          <w:p w14:paraId="1A1D54E8" w14:textId="77777777" w:rsidR="009F61DA" w:rsidRPr="00365AAC" w:rsidRDefault="009F61DA" w:rsidP="00286A53">
            <w:pPr>
              <w:shd w:val="clear" w:color="auto" w:fill="FFFFFF"/>
              <w:rPr>
                <w:szCs w:val="22"/>
              </w:rPr>
            </w:pPr>
            <w:r w:rsidRPr="00365AAC">
              <w:rPr>
                <w:szCs w:val="22"/>
              </w:rPr>
              <w:t xml:space="preserve">Predio 0010: Inmuebles del Edificio original del Molino </w:t>
            </w:r>
            <w:proofErr w:type="spellStart"/>
            <w:r w:rsidRPr="00365AAC">
              <w:rPr>
                <w:szCs w:val="22"/>
              </w:rPr>
              <w:t>Tundama</w:t>
            </w:r>
            <w:proofErr w:type="spellEnd"/>
            <w:r w:rsidRPr="00365AAC">
              <w:rPr>
                <w:szCs w:val="22"/>
              </w:rPr>
              <w:t xml:space="preserve"> y edificio de talleres.</w:t>
            </w:r>
          </w:p>
          <w:p w14:paraId="724F0F9C" w14:textId="77777777" w:rsidR="009F61DA" w:rsidRPr="00365AAC" w:rsidRDefault="009F61DA" w:rsidP="00286A53">
            <w:pPr>
              <w:shd w:val="clear" w:color="auto" w:fill="FFFFFF"/>
              <w:rPr>
                <w:szCs w:val="22"/>
              </w:rPr>
            </w:pPr>
            <w:r w:rsidRPr="00365AAC">
              <w:rPr>
                <w:szCs w:val="22"/>
              </w:rPr>
              <w:t>Predio 0074: Inmueble del edificio de máquinas, portada y chimenea.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16D0E0" w14:textId="77777777" w:rsidR="009F61DA" w:rsidRPr="00365AAC" w:rsidRDefault="009F61DA" w:rsidP="00120FDD">
            <w:pPr>
              <w:shd w:val="clear" w:color="auto" w:fill="FFFFFF"/>
              <w:ind w:left="720" w:hanging="720"/>
              <w:rPr>
                <w:szCs w:val="22"/>
              </w:rPr>
            </w:pPr>
            <w:r w:rsidRPr="00365AAC">
              <w:rPr>
                <w:szCs w:val="22"/>
              </w:rPr>
              <w:t>Nivel 2</w:t>
            </w:r>
            <w:r>
              <w:rPr>
                <w:szCs w:val="22"/>
              </w:rPr>
              <w:t>:</w:t>
            </w:r>
            <w:r w:rsidRPr="00365AAC">
              <w:rPr>
                <w:szCs w:val="22"/>
              </w:rPr>
              <w:t xml:space="preserve"> Conservación arquitectónica</w:t>
            </w:r>
            <w:r>
              <w:rPr>
                <w:szCs w:val="22"/>
              </w:rPr>
              <w:t>.</w:t>
            </w:r>
          </w:p>
          <w:p w14:paraId="2C580F4C" w14:textId="77777777" w:rsidR="009F61DA" w:rsidRPr="00365AAC" w:rsidRDefault="009F61DA" w:rsidP="00286A53">
            <w:pPr>
              <w:shd w:val="clear" w:color="auto" w:fill="FFFFFF"/>
              <w:rPr>
                <w:szCs w:val="22"/>
              </w:rPr>
            </w:pPr>
            <w:r w:rsidRPr="00365AAC">
              <w:rPr>
                <w:bCs/>
                <w:szCs w:val="22"/>
              </w:rPr>
              <w:t xml:space="preserve">Predio 0074: Edificio administrativo. Área restante de los predios 0010 y 0074 (espacio público) correspondiente al antiguo conjunto del Molino </w:t>
            </w:r>
            <w:proofErr w:type="spellStart"/>
            <w:r w:rsidRPr="00365AAC">
              <w:rPr>
                <w:bCs/>
                <w:szCs w:val="22"/>
              </w:rPr>
              <w:t>Tundama</w:t>
            </w:r>
            <w:proofErr w:type="spellEnd"/>
            <w:r w:rsidRPr="00365AAC">
              <w:rPr>
                <w:bCs/>
                <w:szCs w:val="22"/>
              </w:rPr>
              <w:t>.</w:t>
            </w:r>
          </w:p>
        </w:tc>
      </w:tr>
      <w:tr w:rsidR="009F61DA" w:rsidRPr="00BA54B3" w14:paraId="08BBF5DA" w14:textId="77777777" w:rsidTr="00286A53">
        <w:trPr>
          <w:cantSplit/>
          <w:trHeight w:val="532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2040C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Usos Principal</w:t>
            </w:r>
          </w:p>
        </w:tc>
        <w:tc>
          <w:tcPr>
            <w:tcW w:w="3544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6611205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Cultural Institucional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FCFE7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Cultural Institucional</w:t>
            </w:r>
          </w:p>
        </w:tc>
      </w:tr>
      <w:tr w:rsidR="009F61DA" w:rsidRPr="00BA54B3" w14:paraId="0DB5BBD6" w14:textId="77777777" w:rsidTr="00286A53">
        <w:trPr>
          <w:cantSplit/>
          <w:trHeight w:val="539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DD36A0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 compatible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296C95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Ver tabla código CIIU</w:t>
            </w:r>
          </w:p>
        </w:tc>
      </w:tr>
      <w:tr w:rsidR="009F61DA" w:rsidRPr="00BA54B3" w14:paraId="00BEB55D" w14:textId="77777777" w:rsidTr="00286A53">
        <w:trPr>
          <w:cantSplit/>
          <w:trHeight w:val="1087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FF3B5F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Tipos de Obras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397B70B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bCs/>
                <w:szCs w:val="22"/>
              </w:rPr>
              <w:t>Nivel 1 de intervención Conservación integral:</w:t>
            </w:r>
            <w:r w:rsidRPr="00BA54B3">
              <w:rPr>
                <w:szCs w:val="22"/>
              </w:rPr>
              <w:t xml:space="preserve"> Restauración, reparaciones locativas, primeros auxilios,  adecuación, modificación, reforzamiento estructural, reconstrucción, cerramiento, ampliación.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5E854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bCs/>
                <w:szCs w:val="22"/>
              </w:rPr>
              <w:t>Nivel 2 Conservación arquitectónica:</w:t>
            </w:r>
            <w:r w:rsidRPr="00BA54B3">
              <w:rPr>
                <w:szCs w:val="22"/>
              </w:rPr>
              <w:t xml:space="preserve"> primeros auxilios, reparaciones locativas, restauración, ampliación, adecuación, modificación, reforzamiento estructural, demolición parcial, reconstrucción, cerramiento.</w:t>
            </w:r>
          </w:p>
        </w:tc>
      </w:tr>
      <w:tr w:rsidR="009F61DA" w:rsidRPr="00BA54B3" w14:paraId="55660F46" w14:textId="77777777" w:rsidTr="00286A53">
        <w:trPr>
          <w:cantSplit/>
          <w:trHeight w:val="792"/>
        </w:trPr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F4051E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Altura Máxima edificable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92EFB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la altura de los inmuebles a conservar</w:t>
            </w:r>
          </w:p>
          <w:p w14:paraId="0D0270C6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1AD035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2 pisos en nuevas construcciones</w:t>
            </w:r>
          </w:p>
        </w:tc>
      </w:tr>
      <w:tr w:rsidR="009F61DA" w:rsidRPr="00BA54B3" w14:paraId="4A43845A" w14:textId="77777777" w:rsidTr="00286A53">
        <w:trPr>
          <w:cantSplit/>
          <w:trHeight w:val="960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764D52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Estacionamientos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25157F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  <w:p w14:paraId="05A9483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debe realizar propuesta de estacionamientos en el proyecto arquitectónico</w:t>
            </w:r>
          </w:p>
        </w:tc>
      </w:tr>
      <w:tr w:rsidR="009F61DA" w:rsidRPr="00BA54B3" w14:paraId="7DC13E81" w14:textId="77777777" w:rsidTr="00286A53">
        <w:trPr>
          <w:cantSplit/>
          <w:trHeight w:val="534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B39478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Sótanos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F79E49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No se permite </w:t>
            </w:r>
          </w:p>
          <w:p w14:paraId="0243CAA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472250C8" w14:textId="77777777" w:rsidTr="00286A53">
        <w:trPr>
          <w:cantSplit/>
          <w:trHeight w:val="529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987C7A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proofErr w:type="spellStart"/>
            <w:r w:rsidRPr="00BA54B3">
              <w:rPr>
                <w:szCs w:val="22"/>
              </w:rPr>
              <w:t>Semi</w:t>
            </w:r>
            <w:proofErr w:type="spellEnd"/>
            <w:r w:rsidRPr="00BA54B3">
              <w:rPr>
                <w:szCs w:val="22"/>
              </w:rPr>
              <w:t>-sótanos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903856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se permite</w:t>
            </w:r>
          </w:p>
        </w:tc>
      </w:tr>
      <w:tr w:rsidR="009F61DA" w:rsidRPr="00BA54B3" w14:paraId="18E9FCD5" w14:textId="77777777" w:rsidTr="00286A53">
        <w:trPr>
          <w:cantSplit/>
          <w:trHeight w:val="678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A81EC9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Ocupación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55F025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Cs w:val="22"/>
              </w:rPr>
              <w:t>0,2 (aplica a la sumatoria del área total de los dos predios)</w:t>
            </w:r>
          </w:p>
        </w:tc>
      </w:tr>
      <w:tr w:rsidR="009F61DA" w:rsidRPr="00BA54B3" w14:paraId="0275AB94" w14:textId="77777777" w:rsidTr="00286A53">
        <w:trPr>
          <w:cantSplit/>
          <w:trHeight w:val="533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3952B7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Construcción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CB0E432" w14:textId="77777777" w:rsidR="009F61DA" w:rsidRPr="00AC258D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AC258D">
              <w:rPr>
                <w:szCs w:val="22"/>
              </w:rPr>
              <w:t xml:space="preserve">Se mantiene el existente </w:t>
            </w:r>
          </w:p>
          <w:p w14:paraId="592F30F2" w14:textId="77777777" w:rsidR="009F61DA" w:rsidRPr="00AC258D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7076FD6B" w14:textId="77777777" w:rsidTr="00286A53">
        <w:trPr>
          <w:cantSplit/>
          <w:trHeight w:val="668"/>
        </w:trPr>
        <w:tc>
          <w:tcPr>
            <w:tcW w:w="1833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7744034F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lastRenderedPageBreak/>
              <w:t>Zona de ronda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73FF6E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30m a lado y lado del eje o de las márgenes (según lo que aplique) </w:t>
            </w:r>
            <w:r>
              <w:rPr>
                <w:szCs w:val="22"/>
              </w:rPr>
              <w:t>del cauce de las quebradas.</w:t>
            </w:r>
          </w:p>
          <w:p w14:paraId="3BEF901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*Se pueden desarrollar construcciones temporales </w:t>
            </w:r>
          </w:p>
        </w:tc>
      </w:tr>
      <w:bookmarkEnd w:id="0"/>
    </w:tbl>
    <w:p w14:paraId="1FE4EDE1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2C869BE5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43175AC9" w14:textId="77777777" w:rsidR="0094136E" w:rsidRDefault="0094136E" w:rsidP="009413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  <w:lang w:val="es-MX"/>
        </w:rPr>
      </w:pPr>
      <w:r>
        <w:rPr>
          <w:szCs w:val="22"/>
          <w:lang w:val="es-MX"/>
        </w:rPr>
        <w:t>FICHA 2</w:t>
      </w:r>
    </w:p>
    <w:p w14:paraId="7202AC81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6BA0C8BF" w14:textId="77777777" w:rsidR="009F61DA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 w:rsidRPr="00BA54B3">
        <w:rPr>
          <w:szCs w:val="22"/>
          <w:lang w:val="es-MX"/>
        </w:rPr>
        <w:t>Ficha normativa para el Sector 2, el cual hace parte del área afectada.</w:t>
      </w:r>
    </w:p>
    <w:p w14:paraId="12423935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11995670" w14:textId="77777777" w:rsidR="0094136E" w:rsidRPr="00BA54B3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3685"/>
        <w:gridCol w:w="4111"/>
      </w:tblGrid>
      <w:tr w:rsidR="009F61DA" w:rsidRPr="00BA54B3" w14:paraId="24494B55" w14:textId="77777777" w:rsidTr="00286A53">
        <w:trPr>
          <w:trHeight w:val="218"/>
        </w:trPr>
        <w:tc>
          <w:tcPr>
            <w:tcW w:w="1550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textDirection w:val="btLr"/>
            <w:vAlign w:val="center"/>
            <w:hideMark/>
          </w:tcPr>
          <w:p w14:paraId="4295B24C" w14:textId="77777777" w:rsidR="009F61DA" w:rsidRPr="00BA54B3" w:rsidRDefault="009F61DA" w:rsidP="00286A53">
            <w:pPr>
              <w:shd w:val="clear" w:color="auto" w:fill="FFFFFF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FF0000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3E5DC83" w14:textId="77777777" w:rsidR="009F61DA" w:rsidRPr="00BA54B3" w:rsidRDefault="009F61DA" w:rsidP="00286A53">
            <w:pPr>
              <w:jc w:val="center"/>
              <w:rPr>
                <w:b/>
                <w:color w:val="FFFFFF"/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 xml:space="preserve">ÁREA AFECTADA </w:t>
            </w:r>
          </w:p>
        </w:tc>
      </w:tr>
      <w:tr w:rsidR="009F61DA" w:rsidRPr="00BA54B3" w14:paraId="774AB4B5" w14:textId="77777777" w:rsidTr="00286A53">
        <w:trPr>
          <w:trHeight w:val="218"/>
        </w:trPr>
        <w:tc>
          <w:tcPr>
            <w:tcW w:w="1550" w:type="dxa"/>
            <w:vMerge/>
            <w:vAlign w:val="center"/>
          </w:tcPr>
          <w:p w14:paraId="2ADBC92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gridSpan w:val="2"/>
            <w:shd w:val="clear" w:color="auto" w:fill="FFFFFF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4CBFDB3E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MANZANA 46</w:t>
            </w:r>
          </w:p>
        </w:tc>
      </w:tr>
      <w:tr w:rsidR="009F61DA" w:rsidRPr="00BA54B3" w14:paraId="73C80810" w14:textId="77777777" w:rsidTr="00286A53">
        <w:trPr>
          <w:trHeight w:val="218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803862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19FA1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A3D7BEE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Sector 2</w:t>
            </w:r>
          </w:p>
        </w:tc>
      </w:tr>
      <w:tr w:rsidR="009F61DA" w:rsidRPr="00BA54B3" w14:paraId="794B298A" w14:textId="77777777" w:rsidTr="00286A53">
        <w:trPr>
          <w:trHeight w:val="795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BEA4D4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6A3027E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- </w:t>
            </w:r>
            <w:proofErr w:type="spellStart"/>
            <w:proofErr w:type="gramStart"/>
            <w:r w:rsidRPr="00BA54B3">
              <w:rPr>
                <w:szCs w:val="22"/>
              </w:rPr>
              <w:t>Culturama,y</w:t>
            </w:r>
            <w:proofErr w:type="spellEnd"/>
            <w:proofErr w:type="gramEnd"/>
            <w:r w:rsidRPr="00BA54B3">
              <w:rPr>
                <w:szCs w:val="22"/>
              </w:rPr>
              <w:t xml:space="preserve"> Actual Colegio Santo Tomás Predio 0009 con dirección catastral Carrera 16 # 20-75.</w:t>
            </w:r>
          </w:p>
          <w:p w14:paraId="76A37EFA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- Auditorio </w:t>
            </w:r>
            <w:proofErr w:type="spellStart"/>
            <w:r w:rsidRPr="00BA54B3">
              <w:rPr>
                <w:szCs w:val="22"/>
              </w:rPr>
              <w:t>Culturama</w:t>
            </w:r>
            <w:proofErr w:type="spellEnd"/>
            <w:r w:rsidRPr="00BA54B3">
              <w:rPr>
                <w:szCs w:val="22"/>
              </w:rPr>
              <w:t xml:space="preserve"> Predio 008 con dirección catastral Carrera 16 #20-99.</w:t>
            </w:r>
          </w:p>
        </w:tc>
      </w:tr>
      <w:tr w:rsidR="009F61DA" w:rsidRPr="00BA54B3" w14:paraId="6FD2CFF2" w14:textId="77777777" w:rsidTr="00286A53">
        <w:trPr>
          <w:cantSplit/>
          <w:trHeight w:val="967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5385828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Niveles de Intervención</w:t>
            </w:r>
          </w:p>
          <w:p w14:paraId="43EE38F5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50BF1C3" w14:textId="77777777" w:rsidR="009F61DA" w:rsidRPr="0055706D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szCs w:val="22"/>
              </w:rPr>
              <w:t>Nivel 2:</w:t>
            </w:r>
            <w:r w:rsidRPr="00F22896">
              <w:rPr>
                <w:szCs w:val="22"/>
              </w:rPr>
              <w:t xml:space="preserve"> Conservación</w:t>
            </w:r>
            <w:r w:rsidRPr="00BA54B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de tipo </w:t>
            </w:r>
            <w:r w:rsidRPr="00F22896">
              <w:rPr>
                <w:szCs w:val="22"/>
              </w:rPr>
              <w:t>arquitectónico</w:t>
            </w:r>
            <w:r>
              <w:rPr>
                <w:szCs w:val="22"/>
              </w:rPr>
              <w:t xml:space="preserve"> la casona de </w:t>
            </w:r>
            <w:proofErr w:type="spellStart"/>
            <w:r>
              <w:rPr>
                <w:szCs w:val="22"/>
              </w:rPr>
              <w:t>Cultrama</w:t>
            </w:r>
            <w:proofErr w:type="spellEnd"/>
            <w:r>
              <w:rPr>
                <w:szCs w:val="22"/>
              </w:rPr>
              <w:t xml:space="preserve"> y para para el área libre restante </w:t>
            </w:r>
            <w:r w:rsidRPr="00F22896">
              <w:rPr>
                <w:szCs w:val="22"/>
              </w:rPr>
              <w:t xml:space="preserve">del </w:t>
            </w:r>
            <w:r>
              <w:rPr>
                <w:szCs w:val="22"/>
              </w:rPr>
              <w:t>mismo predio.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4688C0" w14:textId="77777777" w:rsidR="009F61DA" w:rsidRPr="00BA54B3" w:rsidRDefault="009F61DA" w:rsidP="00286A53">
            <w:pPr>
              <w:shd w:val="clear" w:color="auto" w:fill="FFFFFF"/>
              <w:rPr>
                <w:b/>
                <w:szCs w:val="22"/>
              </w:rPr>
            </w:pPr>
            <w:r w:rsidRPr="00BA54B3">
              <w:rPr>
                <w:b/>
                <w:szCs w:val="22"/>
              </w:rPr>
              <w:t>Nivel 3:</w:t>
            </w:r>
            <w:r w:rsidRPr="00BA54B3">
              <w:rPr>
                <w:szCs w:val="22"/>
              </w:rPr>
              <w:t xml:space="preserve"> Conservación contextual</w:t>
            </w:r>
          </w:p>
          <w:p w14:paraId="6AF90F74" w14:textId="77777777" w:rsidR="009F61DA" w:rsidRPr="00365AAC" w:rsidRDefault="009F61DA" w:rsidP="00286A53">
            <w:pPr>
              <w:shd w:val="clear" w:color="auto" w:fill="FFFFFF"/>
              <w:rPr>
                <w:szCs w:val="22"/>
              </w:rPr>
            </w:pPr>
            <w:r w:rsidRPr="00365AAC">
              <w:rPr>
                <w:szCs w:val="22"/>
              </w:rPr>
              <w:t xml:space="preserve">Actual colegio Santo Tomás y auditorio </w:t>
            </w:r>
            <w:proofErr w:type="spellStart"/>
            <w:r w:rsidRPr="00365AAC">
              <w:rPr>
                <w:szCs w:val="22"/>
              </w:rPr>
              <w:t>Culturama</w:t>
            </w:r>
            <w:proofErr w:type="spellEnd"/>
          </w:p>
        </w:tc>
      </w:tr>
      <w:tr w:rsidR="009F61DA" w:rsidRPr="00BA54B3" w14:paraId="3452E17B" w14:textId="77777777" w:rsidTr="00286A53">
        <w:trPr>
          <w:cantSplit/>
          <w:trHeight w:val="507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806C0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Usos Principal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BD1EC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Cultural Institucional</w:t>
            </w:r>
          </w:p>
        </w:tc>
      </w:tr>
      <w:tr w:rsidR="009F61DA" w:rsidRPr="00BA54B3" w14:paraId="0124363A" w14:textId="77777777" w:rsidTr="00286A53">
        <w:trPr>
          <w:cantSplit/>
          <w:trHeight w:val="529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AA10B1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 compatible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F326DC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Ver tabla código CIIU</w:t>
            </w:r>
          </w:p>
          <w:p w14:paraId="0CAA6CFF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727E0401" w14:textId="77777777" w:rsidTr="00286A53">
        <w:trPr>
          <w:cantSplit/>
          <w:trHeight w:val="143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540FC6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Tipos de Obras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91FD12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b/>
                <w:bCs/>
                <w:szCs w:val="22"/>
              </w:rPr>
              <w:t>Nivel 2 Conservación arquitectónica:</w:t>
            </w:r>
            <w:r w:rsidRPr="00BA54B3">
              <w:rPr>
                <w:szCs w:val="22"/>
              </w:rPr>
              <w:t xml:space="preserve"> primeros auxilios, reparaciones locativas, restauración, ampliación, adecuación, modificación, reforzamiento estructural, demolición parcial, reconstrucción, cerramiento.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093A" w14:textId="77777777" w:rsidR="009F61DA" w:rsidRPr="00BA54B3" w:rsidRDefault="009F61DA" w:rsidP="00286A53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BA54B3">
              <w:rPr>
                <w:b/>
                <w:szCs w:val="22"/>
              </w:rPr>
              <w:t>Nivel 3:</w:t>
            </w:r>
            <w:r w:rsidRPr="00BA54B3">
              <w:rPr>
                <w:szCs w:val="22"/>
              </w:rPr>
              <w:t xml:space="preserve"> </w:t>
            </w:r>
            <w:r w:rsidRPr="00BA54B3">
              <w:rPr>
                <w:b/>
                <w:bCs/>
                <w:szCs w:val="22"/>
              </w:rPr>
              <w:t>Conservación contextual</w:t>
            </w:r>
          </w:p>
          <w:p w14:paraId="3719C3EC" w14:textId="77777777" w:rsidR="009F61DA" w:rsidRPr="00BA54B3" w:rsidRDefault="009F61DA" w:rsidP="00286A53">
            <w:pPr>
              <w:shd w:val="clear" w:color="auto" w:fill="FFFFFF"/>
              <w:jc w:val="center"/>
              <w:rPr>
                <w:bCs/>
                <w:szCs w:val="22"/>
                <w:lang w:val="es-ES_tradnl"/>
              </w:rPr>
            </w:pPr>
            <w:r w:rsidRPr="00BA54B3">
              <w:rPr>
                <w:bCs/>
                <w:szCs w:val="22"/>
              </w:rPr>
              <w:t>primeros auxilios, reparaciones locativas, restauración, ampliación, adecuación, modificación, reforzamiento estructural, demolición, reconstrucción, cerramiento.</w:t>
            </w:r>
          </w:p>
        </w:tc>
      </w:tr>
      <w:tr w:rsidR="009F61DA" w:rsidRPr="00BA54B3" w14:paraId="4CA6DD7D" w14:textId="77777777" w:rsidTr="00286A53">
        <w:trPr>
          <w:cantSplit/>
          <w:trHeight w:val="546"/>
        </w:trPr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76CA14F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Altura Máxima edificable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7532C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la altura de</w:t>
            </w:r>
            <w:r>
              <w:rPr>
                <w:szCs w:val="22"/>
              </w:rPr>
              <w:t>l</w:t>
            </w:r>
            <w:r w:rsidRPr="00BA54B3">
              <w:rPr>
                <w:szCs w:val="22"/>
              </w:rPr>
              <w:t xml:space="preserve"> inmueble</w:t>
            </w:r>
            <w:r>
              <w:rPr>
                <w:szCs w:val="22"/>
              </w:rPr>
              <w:t xml:space="preserve"> de conservación de tipo arquitectónico.</w:t>
            </w:r>
          </w:p>
          <w:p w14:paraId="242A0FC1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7CAB249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2 pisos en nuevas construcciones</w:t>
            </w:r>
          </w:p>
        </w:tc>
      </w:tr>
      <w:tr w:rsidR="009F61DA" w:rsidRPr="00BA54B3" w14:paraId="44CB5CCD" w14:textId="77777777" w:rsidTr="00286A53">
        <w:trPr>
          <w:cantSplit/>
          <w:trHeight w:val="669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88BE65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Estaciona</w:t>
            </w:r>
            <w:r>
              <w:rPr>
                <w:szCs w:val="22"/>
              </w:rPr>
              <w:t>-</w:t>
            </w:r>
            <w:proofErr w:type="spellStart"/>
            <w:r w:rsidRPr="00BA54B3">
              <w:rPr>
                <w:szCs w:val="22"/>
              </w:rPr>
              <w:t>mientos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A1080F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debe realizar propuesta de estacionamientos en el proyecto arquitectónico</w:t>
            </w:r>
          </w:p>
          <w:p w14:paraId="162FF951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7C68C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</w:tc>
      </w:tr>
      <w:tr w:rsidR="009F61DA" w:rsidRPr="00BA54B3" w14:paraId="4CF87CD7" w14:textId="77777777" w:rsidTr="00286A53">
        <w:trPr>
          <w:cantSplit/>
          <w:trHeight w:val="395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8B3F02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Sótanos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10CD2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No se permite </w:t>
            </w:r>
          </w:p>
          <w:p w14:paraId="319C1C5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054600F2" w14:textId="77777777" w:rsidTr="00286A53">
        <w:trPr>
          <w:cantSplit/>
          <w:trHeight w:val="387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3DA1D4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proofErr w:type="spellStart"/>
            <w:r w:rsidRPr="00BA54B3">
              <w:rPr>
                <w:szCs w:val="22"/>
              </w:rPr>
              <w:t>Semi</w:t>
            </w:r>
            <w:proofErr w:type="spellEnd"/>
            <w:r w:rsidRPr="00BA54B3">
              <w:rPr>
                <w:szCs w:val="22"/>
              </w:rPr>
              <w:t>-sótanos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A1BFC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se permite</w:t>
            </w:r>
          </w:p>
        </w:tc>
      </w:tr>
      <w:tr w:rsidR="009F61DA" w:rsidRPr="00BA54B3" w14:paraId="4E14AADB" w14:textId="77777777" w:rsidTr="00286A53">
        <w:trPr>
          <w:cantSplit/>
          <w:trHeight w:val="534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99EEF5F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Ocupación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51F6D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el existente</w:t>
            </w:r>
          </w:p>
          <w:p w14:paraId="10775C1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68C50DD6" w14:textId="77777777" w:rsidTr="00286A53">
        <w:trPr>
          <w:cantSplit/>
          <w:trHeight w:val="528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EB7EDC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Construcción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6E7598" w14:textId="77777777" w:rsidR="009F61DA" w:rsidRPr="00AC258D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AC258D">
              <w:rPr>
                <w:szCs w:val="22"/>
              </w:rPr>
              <w:t xml:space="preserve">Se mantiene el existente </w:t>
            </w:r>
          </w:p>
          <w:p w14:paraId="6AA2207B" w14:textId="77777777" w:rsidR="009F61DA" w:rsidRPr="00AC258D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2B4703DC" w14:textId="77777777" w:rsidTr="00286A53">
        <w:trPr>
          <w:cantSplit/>
          <w:trHeight w:val="678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AB0ADF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lastRenderedPageBreak/>
              <w:t>Zona de ronda</w:t>
            </w:r>
          </w:p>
        </w:tc>
        <w:tc>
          <w:tcPr>
            <w:tcW w:w="7796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70E09A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30m a lado y lado del eje o de las márgenes (según lo que aplique) del cauce de las quebradas.</w:t>
            </w:r>
          </w:p>
          <w:p w14:paraId="10947B3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*Se pueden desarrollar construcciones temporales </w:t>
            </w:r>
          </w:p>
        </w:tc>
      </w:tr>
    </w:tbl>
    <w:p w14:paraId="5E6BC877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67F66A40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7356FE1A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>
        <w:rPr>
          <w:szCs w:val="22"/>
          <w:lang w:val="es-MX"/>
        </w:rPr>
        <w:t>FICHA 3</w:t>
      </w:r>
    </w:p>
    <w:p w14:paraId="6B5F1804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3A2932EF" w14:textId="77777777" w:rsidR="009F61DA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 w:rsidRPr="00BA54B3">
        <w:rPr>
          <w:szCs w:val="22"/>
          <w:lang w:val="es-MX"/>
        </w:rPr>
        <w:t>Ficha normativa para el Sector 3, el cual hace parte del área afectada.</w:t>
      </w:r>
    </w:p>
    <w:p w14:paraId="5993E0CD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7796"/>
      </w:tblGrid>
      <w:tr w:rsidR="009F61DA" w:rsidRPr="00BA54B3" w14:paraId="6A9DF3C4" w14:textId="77777777" w:rsidTr="00286A53">
        <w:trPr>
          <w:trHeight w:val="218"/>
        </w:trPr>
        <w:tc>
          <w:tcPr>
            <w:tcW w:w="1550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textDirection w:val="btLr"/>
            <w:vAlign w:val="center"/>
            <w:hideMark/>
          </w:tcPr>
          <w:p w14:paraId="1923FA7B" w14:textId="77777777" w:rsidR="009F61DA" w:rsidRPr="00BA54B3" w:rsidRDefault="009F61DA" w:rsidP="00286A53">
            <w:pPr>
              <w:shd w:val="clear" w:color="auto" w:fill="FFFFFF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7796" w:type="dxa"/>
            <w:shd w:val="clear" w:color="auto" w:fill="FF0000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44D0AA4" w14:textId="77777777" w:rsidR="009F61DA" w:rsidRPr="00BA54B3" w:rsidRDefault="009F61DA" w:rsidP="00286A53">
            <w:pPr>
              <w:jc w:val="center"/>
              <w:rPr>
                <w:b/>
                <w:color w:val="FFFFFF"/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 xml:space="preserve">ÁREA AFECTADA </w:t>
            </w:r>
          </w:p>
        </w:tc>
      </w:tr>
      <w:tr w:rsidR="009F61DA" w:rsidRPr="00BA54B3" w14:paraId="5F8085DE" w14:textId="77777777" w:rsidTr="00286A53">
        <w:trPr>
          <w:trHeight w:val="218"/>
        </w:trPr>
        <w:tc>
          <w:tcPr>
            <w:tcW w:w="1550" w:type="dxa"/>
            <w:vMerge/>
            <w:vAlign w:val="center"/>
          </w:tcPr>
          <w:p w14:paraId="489D9D4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shd w:val="clear" w:color="auto" w:fill="FFFFFF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1A7053B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MANZANA 46</w:t>
            </w:r>
          </w:p>
        </w:tc>
      </w:tr>
      <w:tr w:rsidR="009F61DA" w:rsidRPr="00BA54B3" w14:paraId="5F7780B3" w14:textId="77777777" w:rsidTr="00286A53">
        <w:trPr>
          <w:trHeight w:val="218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09C82E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D4A8CC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F565E96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Sector 3</w:t>
            </w:r>
          </w:p>
        </w:tc>
      </w:tr>
      <w:tr w:rsidR="009F61DA" w:rsidRPr="00BA54B3" w14:paraId="4188D8BE" w14:textId="77777777" w:rsidTr="00286A53">
        <w:trPr>
          <w:trHeight w:val="795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691359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BC08352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- Predio 0007, carrera 16 #21-11</w:t>
            </w:r>
          </w:p>
          <w:p w14:paraId="737AA87E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- Predio 0054 sin dirección catastral quebrada el Hato</w:t>
            </w:r>
          </w:p>
          <w:p w14:paraId="439EE375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- Predio0038 sin dirección catastral quebrada el Hato</w:t>
            </w:r>
          </w:p>
        </w:tc>
      </w:tr>
      <w:tr w:rsidR="009F61DA" w:rsidRPr="00BA54B3" w14:paraId="5747B439" w14:textId="77777777" w:rsidTr="00286A53">
        <w:trPr>
          <w:cantSplit/>
          <w:trHeight w:val="52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9EFD7A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Niveles de Intervención</w:t>
            </w:r>
          </w:p>
          <w:p w14:paraId="4131DBD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0CBB8B3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szCs w:val="22"/>
              </w:rPr>
              <w:t>Nivel 2</w:t>
            </w:r>
            <w:r w:rsidRPr="00BA54B3">
              <w:rPr>
                <w:szCs w:val="22"/>
              </w:rPr>
              <w:t xml:space="preserve">: Conservación </w:t>
            </w:r>
            <w:r>
              <w:rPr>
                <w:szCs w:val="22"/>
              </w:rPr>
              <w:t>de tipo arquitectónico</w:t>
            </w:r>
          </w:p>
          <w:p w14:paraId="12796C98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</w:p>
        </w:tc>
      </w:tr>
      <w:tr w:rsidR="009F61DA" w:rsidRPr="00BA54B3" w14:paraId="112E8663" w14:textId="77777777" w:rsidTr="00286A53">
        <w:trPr>
          <w:cantSplit/>
          <w:trHeight w:val="33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D9C09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Usos Principal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0BEC23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Cultural Institucional</w:t>
            </w:r>
          </w:p>
        </w:tc>
      </w:tr>
      <w:tr w:rsidR="009F61DA" w:rsidRPr="00BA54B3" w14:paraId="522DCD8B" w14:textId="77777777" w:rsidTr="00286A53">
        <w:trPr>
          <w:cantSplit/>
          <w:trHeight w:val="534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40E650D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 compatible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5EB82FE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Ver tabla código CIIU</w:t>
            </w:r>
          </w:p>
          <w:p w14:paraId="5B11BA8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6589B6A4" w14:textId="77777777" w:rsidTr="00286A53">
        <w:trPr>
          <w:cantSplit/>
          <w:trHeight w:val="529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42333B0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Tipos de Obras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426CDDE7" w14:textId="77777777" w:rsidR="009F61DA" w:rsidRPr="00BA54B3" w:rsidRDefault="009F61DA" w:rsidP="00286A53">
            <w:pPr>
              <w:shd w:val="clear" w:color="auto" w:fill="FFFFFF"/>
              <w:rPr>
                <w:bCs/>
                <w:szCs w:val="22"/>
              </w:rPr>
            </w:pPr>
            <w:r w:rsidRPr="00BA54B3">
              <w:rPr>
                <w:b/>
                <w:bCs/>
                <w:szCs w:val="22"/>
              </w:rPr>
              <w:t xml:space="preserve">Nivel 2 Conservación </w:t>
            </w:r>
            <w:r>
              <w:rPr>
                <w:b/>
                <w:bCs/>
                <w:szCs w:val="22"/>
              </w:rPr>
              <w:t>de tipo arquitectónico</w:t>
            </w:r>
            <w:r w:rsidRPr="00BA54B3">
              <w:rPr>
                <w:b/>
                <w:bCs/>
                <w:szCs w:val="22"/>
              </w:rPr>
              <w:t>:</w:t>
            </w:r>
            <w:r w:rsidRPr="00BA54B3">
              <w:rPr>
                <w:szCs w:val="22"/>
              </w:rPr>
              <w:t xml:space="preserve"> primeros auxilios, reparaciones locativas, restauración, ampliación, adecuación, modificación, reforzamiento estructural, demolición parcial, reconstrucción, cerramiento.</w:t>
            </w:r>
          </w:p>
        </w:tc>
      </w:tr>
      <w:tr w:rsidR="009F61DA" w:rsidRPr="00BA54B3" w14:paraId="1CCCE803" w14:textId="77777777" w:rsidTr="00286A53">
        <w:trPr>
          <w:cantSplit/>
          <w:trHeight w:val="536"/>
        </w:trPr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F30959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Altura Máxima edificable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5E847F5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la altura de los inmuebles a conservar</w:t>
            </w:r>
          </w:p>
          <w:p w14:paraId="2B1D442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1BB65971" w14:textId="77777777" w:rsidTr="00286A53">
        <w:trPr>
          <w:cantSplit/>
          <w:trHeight w:val="375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BED6C0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Estacionamientos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55C6B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</w:tc>
      </w:tr>
      <w:tr w:rsidR="009F61DA" w:rsidRPr="00BA54B3" w14:paraId="546C1F27" w14:textId="77777777" w:rsidTr="00286A53">
        <w:trPr>
          <w:cantSplit/>
          <w:trHeight w:val="536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D92058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Sótanos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5EB4F8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No se permite </w:t>
            </w:r>
          </w:p>
          <w:p w14:paraId="4F56EA6C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5D7D4150" w14:textId="77777777" w:rsidTr="00286A53">
        <w:trPr>
          <w:cantSplit/>
          <w:trHeight w:val="530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2F406E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proofErr w:type="spellStart"/>
            <w:r w:rsidRPr="00BA54B3">
              <w:rPr>
                <w:szCs w:val="22"/>
              </w:rPr>
              <w:t>Semi</w:t>
            </w:r>
            <w:proofErr w:type="spellEnd"/>
            <w:r w:rsidRPr="00BA54B3">
              <w:rPr>
                <w:szCs w:val="22"/>
              </w:rPr>
              <w:t>-sótanos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6BA207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se permite</w:t>
            </w:r>
          </w:p>
        </w:tc>
      </w:tr>
      <w:tr w:rsidR="009F61DA" w:rsidRPr="00BA54B3" w14:paraId="4720FA5C" w14:textId="77777777" w:rsidTr="00286A53">
        <w:trPr>
          <w:cantSplit/>
          <w:trHeight w:val="41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3F751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Ocupación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27C348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el existente</w:t>
            </w:r>
          </w:p>
          <w:p w14:paraId="71F7B67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6C344593" w14:textId="77777777" w:rsidTr="00286A53">
        <w:trPr>
          <w:cantSplit/>
          <w:trHeight w:val="53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7316C45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Construcción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E136C8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Se mantiene el existente </w:t>
            </w:r>
          </w:p>
          <w:p w14:paraId="6A37729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5F9BD405" w14:textId="77777777" w:rsidTr="00286A53">
        <w:trPr>
          <w:cantSplit/>
          <w:trHeight w:val="815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C5E0B1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Zona de ronda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2EDD5B5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30m a lado y lado del eje o de las márgenes (según lo que aplique) del cauce de las quebradas.</w:t>
            </w:r>
          </w:p>
          <w:p w14:paraId="7D05B91F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*Se pueden desarrollar construcciones temporales</w:t>
            </w:r>
          </w:p>
        </w:tc>
      </w:tr>
    </w:tbl>
    <w:p w14:paraId="7821A419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3DA13C95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6D9DF060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>
        <w:rPr>
          <w:szCs w:val="22"/>
          <w:lang w:val="es-MX"/>
        </w:rPr>
        <w:t>FICHA 4.</w:t>
      </w:r>
    </w:p>
    <w:p w14:paraId="5F1B8151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3D3CF6BD" w14:textId="77777777" w:rsidR="009F61DA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 w:rsidRPr="00BA54B3">
        <w:rPr>
          <w:szCs w:val="22"/>
          <w:lang w:val="es-MX"/>
        </w:rPr>
        <w:lastRenderedPageBreak/>
        <w:t>Ficha normativa para los predios del Sector 5 que forman parte del área afectada.</w:t>
      </w:r>
    </w:p>
    <w:p w14:paraId="66D2833B" w14:textId="77777777" w:rsidR="0094136E" w:rsidRPr="00BA54B3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7796"/>
      </w:tblGrid>
      <w:tr w:rsidR="009F61DA" w:rsidRPr="00BA54B3" w14:paraId="54FF4667" w14:textId="77777777" w:rsidTr="00286A53">
        <w:trPr>
          <w:trHeight w:val="218"/>
        </w:trPr>
        <w:tc>
          <w:tcPr>
            <w:tcW w:w="1550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textDirection w:val="btLr"/>
            <w:vAlign w:val="center"/>
            <w:hideMark/>
          </w:tcPr>
          <w:p w14:paraId="35014EB8" w14:textId="77777777" w:rsidR="009F61DA" w:rsidRDefault="009F61DA" w:rsidP="00286A53">
            <w:pPr>
              <w:shd w:val="clear" w:color="auto" w:fill="FFFFFF"/>
              <w:ind w:left="113" w:right="113"/>
              <w:jc w:val="center"/>
              <w:rPr>
                <w:szCs w:val="22"/>
              </w:rPr>
            </w:pPr>
          </w:p>
          <w:p w14:paraId="0E35ABFC" w14:textId="77777777" w:rsidR="0094136E" w:rsidRPr="00BA54B3" w:rsidRDefault="0094136E" w:rsidP="00286A53">
            <w:pPr>
              <w:shd w:val="clear" w:color="auto" w:fill="FFFFFF"/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7796" w:type="dxa"/>
            <w:shd w:val="clear" w:color="auto" w:fill="FF0000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C138C6F" w14:textId="77777777" w:rsidR="009F61DA" w:rsidRPr="00BA54B3" w:rsidRDefault="009F61DA" w:rsidP="00286A53">
            <w:pPr>
              <w:jc w:val="center"/>
              <w:rPr>
                <w:b/>
                <w:color w:val="FFFFFF"/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 xml:space="preserve">ÁREA AFECTADA </w:t>
            </w:r>
          </w:p>
        </w:tc>
      </w:tr>
      <w:tr w:rsidR="009F61DA" w:rsidRPr="00BA54B3" w14:paraId="1102845E" w14:textId="77777777" w:rsidTr="00286A53">
        <w:trPr>
          <w:trHeight w:val="218"/>
        </w:trPr>
        <w:tc>
          <w:tcPr>
            <w:tcW w:w="1550" w:type="dxa"/>
            <w:vMerge/>
            <w:vAlign w:val="center"/>
          </w:tcPr>
          <w:p w14:paraId="603CD39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shd w:val="clear" w:color="auto" w:fill="FFFFFF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88DBFC4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MANZANA 46</w:t>
            </w:r>
          </w:p>
        </w:tc>
      </w:tr>
      <w:tr w:rsidR="009F61DA" w:rsidRPr="00BA54B3" w14:paraId="4400DFBE" w14:textId="77777777" w:rsidTr="00286A53">
        <w:trPr>
          <w:trHeight w:val="218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89CCC8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B8A4B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25F7B10" w14:textId="77777777" w:rsidR="009F61DA" w:rsidRPr="00BA54B3" w:rsidRDefault="009F61DA" w:rsidP="00286A53">
            <w:pPr>
              <w:jc w:val="center"/>
              <w:rPr>
                <w:b/>
                <w:color w:val="191919"/>
                <w:szCs w:val="22"/>
              </w:rPr>
            </w:pPr>
            <w:r w:rsidRPr="00BA54B3">
              <w:rPr>
                <w:b/>
                <w:color w:val="191919"/>
                <w:szCs w:val="22"/>
              </w:rPr>
              <w:t>Tres predios del barrio Vaticano que hacen parte del Sector 5</w:t>
            </w:r>
          </w:p>
        </w:tc>
      </w:tr>
      <w:tr w:rsidR="009F61DA" w:rsidRPr="00BA54B3" w14:paraId="7C0C4838" w14:textId="77777777" w:rsidTr="00286A53">
        <w:trPr>
          <w:trHeight w:val="795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094481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39DE8C2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Predio 0014 carrera 15 #19-02, </w:t>
            </w:r>
          </w:p>
          <w:p w14:paraId="5BF704A9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Predio 0049 calle 19#15-9, </w:t>
            </w:r>
          </w:p>
          <w:p w14:paraId="2E7AAB5A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Predio 0015 carrera 15 #19-16</w:t>
            </w:r>
          </w:p>
          <w:p w14:paraId="330C5B03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</w:p>
        </w:tc>
      </w:tr>
      <w:tr w:rsidR="009F61DA" w:rsidRPr="00BA54B3" w14:paraId="433425B8" w14:textId="77777777" w:rsidTr="00286A53">
        <w:trPr>
          <w:cantSplit/>
          <w:trHeight w:val="496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7E3B8D2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Niveles de Intervención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4DA2A792" w14:textId="77777777" w:rsidR="009F61DA" w:rsidRPr="00BA54B3" w:rsidRDefault="009F61DA" w:rsidP="00286A53">
            <w:pPr>
              <w:shd w:val="clear" w:color="auto" w:fill="FFFFFF"/>
              <w:rPr>
                <w:b/>
                <w:szCs w:val="22"/>
              </w:rPr>
            </w:pPr>
            <w:r w:rsidRPr="00BA54B3">
              <w:rPr>
                <w:b/>
                <w:szCs w:val="22"/>
              </w:rPr>
              <w:t>Nivel 3:</w:t>
            </w:r>
          </w:p>
          <w:p w14:paraId="740371DD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Conservación contextual</w:t>
            </w:r>
          </w:p>
        </w:tc>
      </w:tr>
      <w:tr w:rsidR="009F61DA" w:rsidRPr="00BA54B3" w14:paraId="7ACB7135" w14:textId="77777777" w:rsidTr="00286A53">
        <w:trPr>
          <w:cantSplit/>
          <w:trHeight w:val="39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297D63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Usos Principal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600E12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Cultural Institucional</w:t>
            </w:r>
          </w:p>
        </w:tc>
      </w:tr>
      <w:tr w:rsidR="009F61DA" w:rsidRPr="00BA54B3" w14:paraId="5EC0915F" w14:textId="77777777" w:rsidTr="00286A53">
        <w:trPr>
          <w:cantSplit/>
          <w:trHeight w:val="383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9C2F3B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 compatible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770D92A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Ver tabla código CIIU</w:t>
            </w:r>
          </w:p>
        </w:tc>
      </w:tr>
      <w:tr w:rsidR="009F61DA" w:rsidRPr="00BA54B3" w14:paraId="0DB2E77C" w14:textId="77777777" w:rsidTr="00286A53">
        <w:trPr>
          <w:cantSplit/>
          <w:trHeight w:val="934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C95CF0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Tipos de Obras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A349131" w14:textId="77777777" w:rsidR="009F61DA" w:rsidRPr="00BA54B3" w:rsidRDefault="009F61DA" w:rsidP="00286A53">
            <w:pPr>
              <w:shd w:val="clear" w:color="auto" w:fill="FFFFFF"/>
              <w:rPr>
                <w:bCs/>
                <w:szCs w:val="22"/>
              </w:rPr>
            </w:pPr>
            <w:r w:rsidRPr="00BA54B3">
              <w:rPr>
                <w:b/>
                <w:bCs/>
                <w:szCs w:val="22"/>
              </w:rPr>
              <w:t>Nivel 3 Conservación contextual:</w:t>
            </w:r>
            <w:r w:rsidRPr="00BA54B3">
              <w:rPr>
                <w:szCs w:val="22"/>
              </w:rPr>
              <w:t xml:space="preserve"> </w:t>
            </w:r>
            <w:r w:rsidRPr="00BA54B3">
              <w:rPr>
                <w:bCs/>
                <w:szCs w:val="22"/>
              </w:rPr>
              <w:t>primeros auxilios, reparaciones locativas, restauración, ampliación, adecuación, modificación, reforzamiento estructural, demolición, reconstrucción, cerramiento.</w:t>
            </w:r>
          </w:p>
        </w:tc>
      </w:tr>
      <w:tr w:rsidR="009F61DA" w:rsidRPr="00BA54B3" w14:paraId="5B935421" w14:textId="77777777" w:rsidTr="00286A53">
        <w:trPr>
          <w:cantSplit/>
          <w:trHeight w:val="1043"/>
        </w:trPr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3673BF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Altura Máxima edificable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A753EB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Zona de ronda, no se permiten construcciones permanentes.</w:t>
            </w:r>
          </w:p>
          <w:p w14:paraId="0EF4ACBC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5B8AC1C9" w14:textId="77777777" w:rsidTr="00286A53">
        <w:trPr>
          <w:cantSplit/>
          <w:trHeight w:val="600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0F59C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Estacionamientos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F4987C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</w:tc>
      </w:tr>
      <w:tr w:rsidR="009F61DA" w:rsidRPr="00BA54B3" w14:paraId="0DB848A4" w14:textId="77777777" w:rsidTr="00286A53">
        <w:trPr>
          <w:cantSplit/>
          <w:trHeight w:val="38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53915D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Sótanos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086A9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No se permite </w:t>
            </w:r>
          </w:p>
          <w:p w14:paraId="1FEE22C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38B69978" w14:textId="77777777" w:rsidTr="00286A53">
        <w:trPr>
          <w:cantSplit/>
          <w:trHeight w:val="529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1C77F1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proofErr w:type="spellStart"/>
            <w:r w:rsidRPr="00BA54B3">
              <w:rPr>
                <w:szCs w:val="22"/>
              </w:rPr>
              <w:t>Semi</w:t>
            </w:r>
            <w:proofErr w:type="spellEnd"/>
            <w:r w:rsidRPr="00BA54B3">
              <w:rPr>
                <w:szCs w:val="22"/>
              </w:rPr>
              <w:t>-sótanos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63621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se permite</w:t>
            </w:r>
          </w:p>
        </w:tc>
      </w:tr>
      <w:tr w:rsidR="009F61DA" w:rsidRPr="00BA54B3" w14:paraId="1026E1AB" w14:textId="77777777" w:rsidTr="00286A53">
        <w:trPr>
          <w:cantSplit/>
          <w:trHeight w:val="537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02A6244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Ocupación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08A41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  <w:p w14:paraId="378BFAF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0D1688E5" w14:textId="77777777" w:rsidTr="00286A53">
        <w:trPr>
          <w:cantSplit/>
          <w:trHeight w:val="531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AC291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Construcción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B184F6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  <w:p w14:paraId="4E46CC4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</w:tr>
      <w:tr w:rsidR="009F61DA" w:rsidRPr="00BA54B3" w14:paraId="45B2A2D0" w14:textId="77777777" w:rsidTr="00286A53">
        <w:trPr>
          <w:cantSplit/>
          <w:trHeight w:val="539"/>
        </w:trPr>
        <w:tc>
          <w:tcPr>
            <w:tcW w:w="155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348E8445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Zona de ronda</w:t>
            </w:r>
          </w:p>
        </w:tc>
        <w:tc>
          <w:tcPr>
            <w:tcW w:w="7796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5A75250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30m a lado y lado de las márgenes del cauce de las quebradas.</w:t>
            </w:r>
          </w:p>
          <w:p w14:paraId="5B1B69B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  <w:lang w:val="es-ES_tradnl"/>
              </w:rPr>
            </w:pPr>
            <w:r w:rsidRPr="00BA54B3">
              <w:rPr>
                <w:szCs w:val="22"/>
              </w:rPr>
              <w:t>*Se pueden desarrollar construcciones temporales</w:t>
            </w:r>
          </w:p>
        </w:tc>
      </w:tr>
    </w:tbl>
    <w:p w14:paraId="711CD489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7A1276D7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 w:rsidRPr="00BA54B3">
        <w:rPr>
          <w:szCs w:val="22"/>
          <w:lang w:val="es-MX"/>
        </w:rPr>
        <w:t>Tabla N°</w:t>
      </w:r>
      <w:r>
        <w:rPr>
          <w:szCs w:val="22"/>
          <w:lang w:val="es-MX"/>
        </w:rPr>
        <w:t>12</w:t>
      </w:r>
      <w:r w:rsidRPr="00BA54B3">
        <w:rPr>
          <w:szCs w:val="22"/>
          <w:lang w:val="es-MX"/>
        </w:rPr>
        <w:t>. Ficha normativa para el Sector 4 que forma parte de la zona de influencia.</w:t>
      </w:r>
    </w:p>
    <w:p w14:paraId="316605AD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0"/>
        <w:gridCol w:w="7372"/>
      </w:tblGrid>
      <w:tr w:rsidR="009F61DA" w:rsidRPr="00BA54B3" w14:paraId="37CF4005" w14:textId="77777777" w:rsidTr="00286A53">
        <w:trPr>
          <w:trHeight w:val="218"/>
        </w:trPr>
        <w:tc>
          <w:tcPr>
            <w:tcW w:w="1690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1F4832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bookmarkStart w:id="1" w:name="_Hlk7329303"/>
            <w:r w:rsidRPr="00BA54B3">
              <w:rPr>
                <w:szCs w:val="22"/>
              </w:rPr>
              <w:t>Sector</w:t>
            </w:r>
          </w:p>
        </w:tc>
        <w:tc>
          <w:tcPr>
            <w:tcW w:w="7372" w:type="dxa"/>
            <w:shd w:val="clear" w:color="auto" w:fill="AEAAAA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58700C" w14:textId="77777777" w:rsidR="009F61DA" w:rsidRPr="00BA54B3" w:rsidRDefault="009F61DA" w:rsidP="00286A53">
            <w:pPr>
              <w:jc w:val="center"/>
              <w:rPr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>ZONA DE INFLUENCIA</w:t>
            </w:r>
          </w:p>
        </w:tc>
      </w:tr>
      <w:tr w:rsidR="009F61DA" w:rsidRPr="00BA54B3" w14:paraId="085E0695" w14:textId="77777777" w:rsidTr="00286A53">
        <w:trPr>
          <w:trHeight w:val="218"/>
        </w:trPr>
        <w:tc>
          <w:tcPr>
            <w:tcW w:w="1690" w:type="dxa"/>
            <w:vMerge/>
            <w:vAlign w:val="center"/>
            <w:hideMark/>
          </w:tcPr>
          <w:p w14:paraId="24D7DA7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372" w:type="dxa"/>
            <w:shd w:val="clear" w:color="auto" w:fill="B8A4B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7E57249" w14:textId="77777777" w:rsidR="009F61DA" w:rsidRPr="00BA54B3" w:rsidRDefault="009F61DA" w:rsidP="00286A53">
            <w:pPr>
              <w:jc w:val="center"/>
              <w:rPr>
                <w:color w:val="FFFFFF"/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>Zona 4 Barrio Solano</w:t>
            </w:r>
          </w:p>
        </w:tc>
      </w:tr>
      <w:tr w:rsidR="009F61DA" w:rsidRPr="00BA54B3" w14:paraId="319CB582" w14:textId="77777777" w:rsidTr="00286A53">
        <w:trPr>
          <w:trHeight w:val="753"/>
        </w:trPr>
        <w:tc>
          <w:tcPr>
            <w:tcW w:w="1690" w:type="dxa"/>
            <w:vMerge/>
            <w:vAlign w:val="center"/>
            <w:hideMark/>
          </w:tcPr>
          <w:p w14:paraId="1A2F2E1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F08D9EA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Inmuebles del barrio Solano</w:t>
            </w:r>
          </w:p>
        </w:tc>
      </w:tr>
      <w:tr w:rsidR="009F61DA" w:rsidRPr="00BA54B3" w14:paraId="5F692516" w14:textId="77777777" w:rsidTr="00286A53">
        <w:trPr>
          <w:trHeight w:val="556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63EC0B5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Nivel de Intervención </w:t>
            </w:r>
          </w:p>
          <w:p w14:paraId="717C4E5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14:paraId="48D646DB" w14:textId="77777777" w:rsidR="009F61DA" w:rsidRPr="00BA54B3" w:rsidRDefault="009F61DA" w:rsidP="00286A53">
            <w:pPr>
              <w:shd w:val="clear" w:color="auto" w:fill="FFFFFF"/>
              <w:rPr>
                <w:b/>
                <w:szCs w:val="22"/>
              </w:rPr>
            </w:pPr>
            <w:r w:rsidRPr="00BA54B3">
              <w:rPr>
                <w:b/>
                <w:szCs w:val="22"/>
              </w:rPr>
              <w:t>Nivel 3</w:t>
            </w:r>
            <w:r w:rsidRPr="00BA54B3">
              <w:rPr>
                <w:szCs w:val="22"/>
              </w:rPr>
              <w:t>: Conservación contextual</w:t>
            </w:r>
          </w:p>
        </w:tc>
      </w:tr>
      <w:tr w:rsidR="009F61DA" w:rsidRPr="00BA54B3" w14:paraId="27F425D7" w14:textId="77777777" w:rsidTr="00286A53">
        <w:trPr>
          <w:trHeight w:val="658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FC09B8D" w14:textId="77777777" w:rsidR="009F61DA" w:rsidRPr="004B26E0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4B26E0">
              <w:rPr>
                <w:szCs w:val="22"/>
              </w:rPr>
              <w:lastRenderedPageBreak/>
              <w:t>Usos Permitidos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B1C52E6" w14:textId="77777777" w:rsidR="009F61DA" w:rsidRPr="004B26E0" w:rsidRDefault="009F61DA" w:rsidP="00286A53">
            <w:pPr>
              <w:shd w:val="clear" w:color="auto" w:fill="FFFFFF"/>
              <w:rPr>
                <w:szCs w:val="22"/>
              </w:rPr>
            </w:pPr>
            <w:r w:rsidRPr="004B26E0">
              <w:rPr>
                <w:szCs w:val="22"/>
              </w:rPr>
              <w:t>Uso principal: Vivienda</w:t>
            </w:r>
          </w:p>
          <w:p w14:paraId="08A54A3A" w14:textId="77777777" w:rsidR="009F61DA" w:rsidRPr="004B26E0" w:rsidRDefault="009F61DA" w:rsidP="00286A53">
            <w:pPr>
              <w:shd w:val="clear" w:color="auto" w:fill="FFFFFF"/>
              <w:rPr>
                <w:szCs w:val="22"/>
              </w:rPr>
            </w:pPr>
            <w:r w:rsidRPr="004B26E0">
              <w:rPr>
                <w:szCs w:val="22"/>
              </w:rPr>
              <w:t>Uso Complementario</w:t>
            </w:r>
          </w:p>
          <w:p w14:paraId="481D5289" w14:textId="77777777" w:rsidR="009F61DA" w:rsidRPr="004B26E0" w:rsidRDefault="009F61DA" w:rsidP="00286A53">
            <w:pPr>
              <w:shd w:val="clear" w:color="auto" w:fill="FFFFFF"/>
              <w:rPr>
                <w:szCs w:val="22"/>
              </w:rPr>
            </w:pPr>
            <w:r w:rsidRPr="004B26E0">
              <w:rPr>
                <w:szCs w:val="22"/>
              </w:rPr>
              <w:t>Ver tabla código CIIU</w:t>
            </w:r>
          </w:p>
        </w:tc>
      </w:tr>
      <w:tr w:rsidR="009F61DA" w:rsidRPr="00BA54B3" w14:paraId="5F56E5A5" w14:textId="77777777" w:rsidTr="00286A53">
        <w:trPr>
          <w:trHeight w:val="1207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C5C7B4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Tipos de Obras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2F31CC6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bCs/>
                <w:szCs w:val="22"/>
              </w:rPr>
              <w:t>Nivel 3 Conservación contextual:</w:t>
            </w:r>
            <w:r w:rsidRPr="00BA54B3">
              <w:rPr>
                <w:szCs w:val="22"/>
              </w:rPr>
              <w:t xml:space="preserve"> </w:t>
            </w:r>
          </w:p>
          <w:p w14:paraId="23A3D609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Cs/>
                <w:szCs w:val="22"/>
              </w:rPr>
              <w:t>primeros auxilios, reparaciones locativas, restauración, ampliación, adecuación, modificación, reforzamiento estructural, demolición, reconstrucción, cerramiento.</w:t>
            </w:r>
          </w:p>
        </w:tc>
      </w:tr>
      <w:tr w:rsidR="009F61DA" w:rsidRPr="00BA54B3" w14:paraId="4CB0B31A" w14:textId="77777777" w:rsidTr="00286A53">
        <w:trPr>
          <w:trHeight w:val="472"/>
        </w:trPr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3B4C4A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Altura Máxima edificable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8E83E96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Dos (2) pisos </w:t>
            </w:r>
          </w:p>
          <w:p w14:paraId="30B5E220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 xml:space="preserve">(Ver plano F5 Alturas)                 </w:t>
            </w:r>
          </w:p>
        </w:tc>
      </w:tr>
      <w:tr w:rsidR="009F61DA" w:rsidRPr="00BA54B3" w14:paraId="2E1B3F78" w14:textId="77777777" w:rsidTr="00286A53">
        <w:trPr>
          <w:trHeight w:val="301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1D3BF3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Estacionamientos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35C7C5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1 por casa 100 m2 de construcción</w:t>
            </w:r>
          </w:p>
        </w:tc>
      </w:tr>
      <w:tr w:rsidR="009F61DA" w:rsidRPr="00BA54B3" w14:paraId="3D199162" w14:textId="77777777" w:rsidTr="00286A53">
        <w:trPr>
          <w:trHeight w:val="485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65EAFF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Sótanos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9917A9C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se permite la construcción de sótanos</w:t>
            </w:r>
          </w:p>
        </w:tc>
      </w:tr>
      <w:tr w:rsidR="009F61DA" w:rsidRPr="00BA54B3" w14:paraId="47CCAF57" w14:textId="77777777" w:rsidTr="00286A53">
        <w:trPr>
          <w:trHeight w:val="452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8EB26DC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Semisótanos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3E79A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permite la construcción de semisótanos</w:t>
            </w:r>
          </w:p>
        </w:tc>
      </w:tr>
      <w:tr w:rsidR="009F61DA" w:rsidRPr="00BA54B3" w14:paraId="09CFFB15" w14:textId="77777777" w:rsidTr="00286A53">
        <w:trPr>
          <w:trHeight w:val="301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126F69A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Ocupación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7343B3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0.65</w:t>
            </w:r>
          </w:p>
        </w:tc>
      </w:tr>
      <w:tr w:rsidR="009F61DA" w:rsidRPr="00BA54B3" w14:paraId="60B5A38A" w14:textId="77777777" w:rsidTr="00286A53">
        <w:trPr>
          <w:trHeight w:val="301"/>
        </w:trPr>
        <w:tc>
          <w:tcPr>
            <w:tcW w:w="169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0AE0092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Construcción</w:t>
            </w:r>
          </w:p>
        </w:tc>
        <w:tc>
          <w:tcPr>
            <w:tcW w:w="737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FCC03A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1.8</w:t>
            </w:r>
          </w:p>
        </w:tc>
      </w:tr>
      <w:bookmarkEnd w:id="1"/>
    </w:tbl>
    <w:p w14:paraId="334FDEF8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1A2990E9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>
        <w:rPr>
          <w:szCs w:val="22"/>
          <w:lang w:val="es-MX"/>
        </w:rPr>
        <w:t>FICHA 5.</w:t>
      </w:r>
    </w:p>
    <w:p w14:paraId="47A8F2B1" w14:textId="77777777" w:rsidR="0094136E" w:rsidRDefault="0094136E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</w:p>
    <w:p w14:paraId="3773450C" w14:textId="77777777" w:rsidR="009F61DA" w:rsidRPr="00BA54B3" w:rsidRDefault="009F61DA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  <w:lang w:val="es-MX"/>
        </w:rPr>
      </w:pPr>
      <w:r w:rsidRPr="00BA54B3">
        <w:rPr>
          <w:szCs w:val="22"/>
          <w:lang w:val="es-MX"/>
        </w:rPr>
        <w:t>Ficha normativa para los predios del Sector 5 que forman parte de la zona de influencia.</w:t>
      </w:r>
    </w:p>
    <w:p w14:paraId="5C2CA18B" w14:textId="77777777" w:rsidR="009F61DA" w:rsidRPr="00BA54B3" w:rsidRDefault="009F61DA" w:rsidP="009F61DA">
      <w:pPr>
        <w:tabs>
          <w:tab w:val="left" w:pos="1843"/>
        </w:tabs>
        <w:jc w:val="both"/>
        <w:rPr>
          <w:b/>
          <w:color w:val="FF0000"/>
          <w:szCs w:val="22"/>
          <w:u w:val="single"/>
          <w:lang w:val="es-MX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8"/>
        <w:gridCol w:w="3687"/>
        <w:gridCol w:w="3687"/>
      </w:tblGrid>
      <w:tr w:rsidR="009F61DA" w:rsidRPr="00BA54B3" w14:paraId="3C0F1CFF" w14:textId="77777777" w:rsidTr="00286A53">
        <w:trPr>
          <w:trHeight w:val="218"/>
        </w:trPr>
        <w:tc>
          <w:tcPr>
            <w:tcW w:w="1688" w:type="dxa"/>
            <w:vMerge w:val="restart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73E369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Sector</w:t>
            </w:r>
          </w:p>
        </w:tc>
        <w:tc>
          <w:tcPr>
            <w:tcW w:w="7374" w:type="dxa"/>
            <w:gridSpan w:val="2"/>
            <w:shd w:val="clear" w:color="auto" w:fill="AEAAAA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8C08083" w14:textId="77777777" w:rsidR="009F61DA" w:rsidRPr="00BA54B3" w:rsidRDefault="009F61DA" w:rsidP="00286A53">
            <w:pPr>
              <w:jc w:val="center"/>
              <w:rPr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>ZONA DE INFLUENCIA</w:t>
            </w:r>
          </w:p>
        </w:tc>
      </w:tr>
      <w:tr w:rsidR="009F61DA" w:rsidRPr="00BA54B3" w14:paraId="601C6F96" w14:textId="77777777" w:rsidTr="00286A53">
        <w:trPr>
          <w:trHeight w:val="218"/>
        </w:trPr>
        <w:tc>
          <w:tcPr>
            <w:tcW w:w="1688" w:type="dxa"/>
            <w:vMerge/>
            <w:vAlign w:val="center"/>
            <w:hideMark/>
          </w:tcPr>
          <w:p w14:paraId="2AD842B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374" w:type="dxa"/>
            <w:gridSpan w:val="2"/>
            <w:shd w:val="clear" w:color="auto" w:fill="BD9FBE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5837B42" w14:textId="77777777" w:rsidR="009F61DA" w:rsidRPr="00BA54B3" w:rsidRDefault="009F61DA" w:rsidP="00286A53">
            <w:pPr>
              <w:jc w:val="center"/>
              <w:rPr>
                <w:color w:val="FFFFFF"/>
                <w:szCs w:val="22"/>
              </w:rPr>
            </w:pPr>
            <w:r w:rsidRPr="00BA54B3">
              <w:rPr>
                <w:b/>
                <w:color w:val="FFFFFF"/>
                <w:szCs w:val="22"/>
              </w:rPr>
              <w:t>Zona 5 Barrio Vaticano</w:t>
            </w:r>
          </w:p>
        </w:tc>
      </w:tr>
      <w:tr w:rsidR="009F61DA" w:rsidRPr="00BA54B3" w14:paraId="62093B2F" w14:textId="77777777" w:rsidTr="00286A53">
        <w:trPr>
          <w:trHeight w:val="753"/>
        </w:trPr>
        <w:tc>
          <w:tcPr>
            <w:tcW w:w="1688" w:type="dxa"/>
            <w:vMerge/>
            <w:vAlign w:val="center"/>
            <w:hideMark/>
          </w:tcPr>
          <w:p w14:paraId="3DF1BAD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374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7D9897EC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szCs w:val="22"/>
              </w:rPr>
              <w:t>-Inmuebles del barrio Vaticano</w:t>
            </w:r>
          </w:p>
        </w:tc>
      </w:tr>
      <w:tr w:rsidR="009F61DA" w:rsidRPr="00BA54B3" w14:paraId="0B7299E8" w14:textId="77777777" w:rsidTr="00286A53">
        <w:trPr>
          <w:trHeight w:val="556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17305D0F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Nivel de Intervención </w:t>
            </w:r>
          </w:p>
          <w:p w14:paraId="356EB9E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3DEA842" w14:textId="77777777" w:rsidR="009F61DA" w:rsidRPr="00BA54B3" w:rsidRDefault="009F61DA" w:rsidP="00286A53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BA54B3">
              <w:rPr>
                <w:b/>
                <w:szCs w:val="22"/>
              </w:rPr>
              <w:t>Nivel 2:</w:t>
            </w:r>
            <w:r w:rsidRPr="00BA54B3">
              <w:rPr>
                <w:szCs w:val="22"/>
              </w:rPr>
              <w:t xml:space="preserve"> Conservación de tipo arquitectónico del </w:t>
            </w:r>
            <w:r w:rsidRPr="001E5B71">
              <w:rPr>
                <w:szCs w:val="22"/>
              </w:rPr>
              <w:t xml:space="preserve">predio en la  Transversal 15 n°20-57 </w:t>
            </w:r>
            <w:r>
              <w:rPr>
                <w:szCs w:val="22"/>
              </w:rPr>
              <w:t>T</w:t>
            </w:r>
            <w:r w:rsidRPr="001E5B71">
              <w:rPr>
                <w:szCs w:val="22"/>
              </w:rPr>
              <w:t>ransversal (carrera 16 #20-18)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FE9E7E9" w14:textId="77777777" w:rsidR="009F61DA" w:rsidRPr="00BA54B3" w:rsidRDefault="009F61DA" w:rsidP="00286A53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BA54B3">
              <w:rPr>
                <w:b/>
                <w:szCs w:val="22"/>
              </w:rPr>
              <w:t>Nivel 3:</w:t>
            </w:r>
            <w:r w:rsidRPr="00BA54B3">
              <w:rPr>
                <w:szCs w:val="22"/>
              </w:rPr>
              <w:t xml:space="preserve"> Conservación contextual</w:t>
            </w:r>
          </w:p>
        </w:tc>
      </w:tr>
      <w:tr w:rsidR="009F61DA" w:rsidRPr="00BA54B3" w14:paraId="761E2CA9" w14:textId="77777777" w:rsidTr="00286A53">
        <w:trPr>
          <w:trHeight w:val="658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6871EF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Usos Permitidos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14:paraId="48BBC0B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 principal: Vivienda</w:t>
            </w:r>
          </w:p>
          <w:p w14:paraId="65DD4EA0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Uso Complementario: comercial de bajo impacto Ver tabla código CIIU</w:t>
            </w:r>
          </w:p>
        </w:tc>
      </w:tr>
      <w:tr w:rsidR="009F61DA" w:rsidRPr="00BA54B3" w14:paraId="3E3F8579" w14:textId="77777777" w:rsidTr="00286A53">
        <w:trPr>
          <w:trHeight w:val="1207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EA435B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Tipos de Obras</w:t>
            </w:r>
          </w:p>
        </w:tc>
        <w:tc>
          <w:tcPr>
            <w:tcW w:w="368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7CAEBF05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bCs/>
                <w:szCs w:val="22"/>
              </w:rPr>
              <w:t>Nivel 2 Conservación arquitectónica:</w:t>
            </w:r>
            <w:r w:rsidRPr="00BA54B3">
              <w:rPr>
                <w:szCs w:val="22"/>
              </w:rPr>
              <w:t xml:space="preserve"> primeros auxilios, reparaciones locativas, restauración, ampliación, adecuación, modificación, reforzamiento estructural, demolición parcial, reconstrucción, cerramiento.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6E30C8A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/>
                <w:bCs/>
                <w:szCs w:val="22"/>
              </w:rPr>
              <w:t>Nivel 3 Conservación contextual:</w:t>
            </w:r>
            <w:r w:rsidRPr="00BA54B3">
              <w:rPr>
                <w:szCs w:val="22"/>
              </w:rPr>
              <w:t xml:space="preserve"> </w:t>
            </w:r>
          </w:p>
          <w:p w14:paraId="5F64EF5C" w14:textId="77777777" w:rsidR="009F61DA" w:rsidRPr="00BA54B3" w:rsidRDefault="009F61DA" w:rsidP="00286A53">
            <w:pPr>
              <w:shd w:val="clear" w:color="auto" w:fill="FFFFFF"/>
              <w:rPr>
                <w:szCs w:val="22"/>
              </w:rPr>
            </w:pPr>
            <w:r w:rsidRPr="00BA54B3">
              <w:rPr>
                <w:bCs/>
                <w:szCs w:val="22"/>
              </w:rPr>
              <w:t>primeros auxilios, reparaciones locativas, restauración, ampliación, adecuación, modificación, reforzamiento estructural, demolición, reconstrucción, cerramiento.</w:t>
            </w:r>
          </w:p>
        </w:tc>
      </w:tr>
      <w:tr w:rsidR="009F61DA" w:rsidRPr="00BA54B3" w14:paraId="6696B30A" w14:textId="77777777" w:rsidTr="00286A53">
        <w:trPr>
          <w:trHeight w:val="904"/>
        </w:trPr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5F03FC3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lastRenderedPageBreak/>
              <w:t>Altura Máxima edificable</w:t>
            </w:r>
          </w:p>
        </w:tc>
        <w:tc>
          <w:tcPr>
            <w:tcW w:w="368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14:paraId="0CCAD64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la altura actual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C8B7C1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Dos (2) pisos </w:t>
            </w:r>
          </w:p>
          <w:p w14:paraId="6E23984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 xml:space="preserve">(Ver plano F5 Alturas)                </w:t>
            </w:r>
          </w:p>
        </w:tc>
      </w:tr>
      <w:tr w:rsidR="009F61DA" w:rsidRPr="00BA54B3" w14:paraId="660B502D" w14:textId="77777777" w:rsidTr="00286A53">
        <w:trPr>
          <w:trHeight w:val="301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5F6438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Estacionamientos</w:t>
            </w:r>
          </w:p>
        </w:tc>
        <w:tc>
          <w:tcPr>
            <w:tcW w:w="368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C948D29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aplica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19F84F6A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1 por casa 100 m2 de construcción</w:t>
            </w:r>
          </w:p>
        </w:tc>
      </w:tr>
      <w:tr w:rsidR="009F61DA" w:rsidRPr="00BA54B3" w14:paraId="59BC9BFD" w14:textId="77777777" w:rsidTr="00286A53">
        <w:trPr>
          <w:trHeight w:val="645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B0FB0C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Sótanos</w:t>
            </w:r>
          </w:p>
        </w:tc>
        <w:tc>
          <w:tcPr>
            <w:tcW w:w="7374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3FE9C3E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No se permite la construcción de sótanos</w:t>
            </w:r>
          </w:p>
        </w:tc>
      </w:tr>
      <w:tr w:rsidR="009F61DA" w:rsidRPr="00BA54B3" w14:paraId="30EDF7AF" w14:textId="77777777" w:rsidTr="00286A53">
        <w:trPr>
          <w:trHeight w:val="452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3B90BD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Semisótanos</w:t>
            </w:r>
          </w:p>
        </w:tc>
        <w:tc>
          <w:tcPr>
            <w:tcW w:w="7374" w:type="dxa"/>
            <w:gridSpan w:val="2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D08AD5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permite la construcción de semisótanos</w:t>
            </w:r>
          </w:p>
        </w:tc>
      </w:tr>
      <w:tr w:rsidR="009F61DA" w:rsidRPr="00BA54B3" w14:paraId="1A6CCECA" w14:textId="77777777" w:rsidTr="00286A53">
        <w:trPr>
          <w:trHeight w:val="301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3443C6B2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Ocupación</w:t>
            </w:r>
          </w:p>
        </w:tc>
        <w:tc>
          <w:tcPr>
            <w:tcW w:w="368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72A778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la actual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337455D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0.65</w:t>
            </w:r>
          </w:p>
        </w:tc>
      </w:tr>
      <w:tr w:rsidR="009F61DA" w:rsidRPr="00BA54B3" w14:paraId="0BE43F06" w14:textId="77777777" w:rsidTr="00286A53">
        <w:trPr>
          <w:trHeight w:val="301"/>
        </w:trPr>
        <w:tc>
          <w:tcPr>
            <w:tcW w:w="1688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5B45D23B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Índice de Construcción</w:t>
            </w:r>
          </w:p>
        </w:tc>
        <w:tc>
          <w:tcPr>
            <w:tcW w:w="3687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9EF9C7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Se mantiene la actual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0DE100B1" w14:textId="77777777" w:rsidR="009F61DA" w:rsidRPr="00BA54B3" w:rsidRDefault="009F61DA" w:rsidP="00286A53">
            <w:pPr>
              <w:shd w:val="clear" w:color="auto" w:fill="FFFFFF"/>
              <w:jc w:val="center"/>
              <w:rPr>
                <w:szCs w:val="22"/>
              </w:rPr>
            </w:pPr>
            <w:r w:rsidRPr="00BA54B3">
              <w:rPr>
                <w:szCs w:val="22"/>
              </w:rPr>
              <w:t>1.8</w:t>
            </w:r>
          </w:p>
        </w:tc>
      </w:tr>
    </w:tbl>
    <w:p w14:paraId="4E528FE9" w14:textId="77777777" w:rsidR="00DA7879" w:rsidRDefault="00DA7879"/>
    <w:sectPr w:rsidR="00DA78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DA"/>
    <w:rsid w:val="00120FDD"/>
    <w:rsid w:val="0094136E"/>
    <w:rsid w:val="009F61DA"/>
    <w:rsid w:val="00DA0E59"/>
    <w:rsid w:val="00D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C2AE"/>
  <w15:chartTrackingRefBased/>
  <w15:docId w15:val="{3F2660BC-089F-4110-9E49-963B5AB4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H7EN5MXTHQNV-429570507-3071</_dlc_DocId>
    <_dlc_DocIdUrl xmlns="ae9388c0-b1e2-40ea-b6a8-c51c7913cbd2">
      <Url>https://www.mincultura.gov.co/ministerio/transparencia-y-acceso-a-informacion-publica/publicidad%20de%20proyectos%20de%20especificos%20de%20regulacion/_layouts/15/DocIdRedir.aspx?ID=H7EN5MXTHQNV-429570507-3071</Url>
      <Description>H7EN5MXTHQNV-429570507-3071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7ED45B36A8446A222379A73921453" ma:contentTypeVersion="1" ma:contentTypeDescription="Crear nuevo documento." ma:contentTypeScope="" ma:versionID="efbd9d26f3e3d14f5c97163b7bc4884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5ABCA-92CC-4952-9EED-8CD9CDE5AF74}"/>
</file>

<file path=customXml/itemProps2.xml><?xml version="1.0" encoding="utf-8"?>
<ds:datastoreItem xmlns:ds="http://schemas.openxmlformats.org/officeDocument/2006/customXml" ds:itemID="{DA68BCFB-E0B9-4ECF-921C-FB9191BCD90E}"/>
</file>

<file path=customXml/itemProps3.xml><?xml version="1.0" encoding="utf-8"?>
<ds:datastoreItem xmlns:ds="http://schemas.openxmlformats.org/officeDocument/2006/customXml" ds:itemID="{A2F14E97-8C1C-40BC-98FD-8885DF839C74}"/>
</file>

<file path=customXml/itemProps4.xml><?xml version="1.0" encoding="utf-8"?>
<ds:datastoreItem xmlns:ds="http://schemas.openxmlformats.org/officeDocument/2006/customXml" ds:itemID="{011A06DF-3E75-4B2C-BEC8-79E6580AD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Solarte García</dc:creator>
  <cp:keywords/>
  <dc:description/>
  <cp:lastModifiedBy>MAURICIO HERRERA</cp:lastModifiedBy>
  <cp:revision>2</cp:revision>
  <dcterms:created xsi:type="dcterms:W3CDTF">2021-11-12T04:24:00Z</dcterms:created>
  <dcterms:modified xsi:type="dcterms:W3CDTF">2021-11-12T04:24:00Z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0x0101004C57ED45B36A8446A222379A73921453</vt:lpwstr>
  </property>
  <property fmtid="{D5CDD505-2E9C-101B-9397-08002B2CF9AE}" pid="3" name="_dlc_DocIdItemGuid">
    <vt:lpwstr>1ea1c05b-73e7-4924-953c-36b2ab5ba25f</vt:lpwstr>
  </property>
</Properties>
</file>